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B26BC" w:rsidRPr="005556C4" w:rsidP="008B26BC">
      <w:pPr>
        <w:tabs>
          <w:tab w:val="left" w:pos="720"/>
        </w:tabs>
        <w:jc w:val="center"/>
        <w:rPr>
          <w:rFonts w:ascii="Arial" w:hAnsi="Arial" w:cs="Arial"/>
          <w:b/>
          <w:szCs w:val="24"/>
          <w:lang w:val="en-GB"/>
        </w:rPr>
      </w:pPr>
      <w:r w:rsidRPr="005556C4">
        <w:rPr>
          <w:rFonts w:ascii="Arial" w:hAnsi="Arial" w:cs="Arial"/>
          <w:b/>
          <w:szCs w:val="24"/>
          <w:u w:val="single"/>
          <w:lang w:val="en-GB"/>
        </w:rPr>
        <w:t>SUMMARY OF PRODUCT CHARACTERISTICS</w:t>
      </w:r>
    </w:p>
    <w:p w:rsidR="008B26BC" w:rsidRPr="005556C4" w:rsidP="008B26BC">
      <w:pPr>
        <w:tabs>
          <w:tab w:val="left" w:pos="720"/>
        </w:tabs>
        <w:ind w:left="567"/>
        <w:rPr>
          <w:rFonts w:ascii="Arial" w:hAnsi="Arial" w:cs="Arial"/>
          <w:b/>
          <w:szCs w:val="24"/>
          <w:lang w:val="en-GB"/>
        </w:rPr>
      </w:pPr>
    </w:p>
    <w:p w:rsidR="008B26BC" w:rsidRPr="005556C4" w:rsidP="008B26BC">
      <w:pPr>
        <w:pStyle w:val="12bold"/>
      </w:pPr>
      <w:r w:rsidRPr="005556C4">
        <w:rPr>
          <w:rStyle w:val="12boldChar"/>
          <w:b/>
        </w:rPr>
        <w:t>NAME</w:t>
      </w:r>
      <w:r w:rsidRPr="005556C4">
        <w:t xml:space="preserve"> OF THE VETERINARY MEDICINAL PRODUCT</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Enzovax</w:t>
      </w:r>
      <w:r w:rsidRPr="005556C4">
        <w:rPr>
          <w:rFonts w:ascii="Arial" w:hAnsi="Arial" w:cs="Arial"/>
          <w:szCs w:val="24"/>
          <w:lang w:val="en-GB"/>
        </w:rPr>
        <w:t xml:space="preserve"> </w:t>
      </w:r>
    </w:p>
    <w:p w:rsidR="008B26BC" w:rsidRPr="005556C4" w:rsidP="008B26BC">
      <w:pPr>
        <w:tabs>
          <w:tab w:val="left" w:pos="720"/>
        </w:tabs>
        <w:ind w:left="567"/>
        <w:rPr>
          <w:rFonts w:ascii="Arial" w:hAnsi="Arial" w:cs="Arial"/>
          <w:szCs w:val="24"/>
          <w:lang w:val="en-GB"/>
        </w:rPr>
      </w:pPr>
    </w:p>
    <w:p w:rsidR="008B26BC" w:rsidRPr="005556C4" w:rsidP="008B26BC">
      <w:pPr>
        <w:pStyle w:val="12bold"/>
      </w:pPr>
      <w:r w:rsidRPr="005556C4">
        <w:t>QUALITATIVE AND QUANTITATIVE COMPOSITION</w:t>
      </w:r>
    </w:p>
    <w:p w:rsidR="008B26BC"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u w:val="single"/>
          <w:lang w:val="en-GB"/>
        </w:rPr>
      </w:pPr>
      <w:r w:rsidRPr="005556C4">
        <w:rPr>
          <w:rFonts w:ascii="Arial" w:hAnsi="Arial" w:cs="Arial"/>
          <w:i/>
          <w:szCs w:val="24"/>
          <w:lang w:val="en-GB"/>
        </w:rPr>
        <w:t>Active substance</w:t>
      </w:r>
      <w:r w:rsidRPr="005556C4">
        <w:rPr>
          <w:rFonts w:ascii="Arial" w:hAnsi="Arial" w:cs="Arial"/>
          <w:i/>
          <w:szCs w:val="24"/>
          <w:lang w:val="en-GB"/>
        </w:rPr>
        <w:tab/>
      </w:r>
      <w:r w:rsidRPr="005556C4">
        <w:rPr>
          <w:rFonts w:ascii="Arial" w:hAnsi="Arial" w:cs="Arial"/>
          <w:i/>
          <w:szCs w:val="24"/>
          <w:lang w:val="en-GB"/>
        </w:rPr>
        <w:tab/>
      </w:r>
      <w:r w:rsidRPr="005556C4">
        <w:rPr>
          <w:rFonts w:ascii="Arial" w:hAnsi="Arial" w:cs="Arial"/>
          <w:szCs w:val="24"/>
          <w:lang w:val="en-GB"/>
        </w:rPr>
        <w:tab/>
      </w:r>
      <w:r w:rsidRPr="005556C4">
        <w:rPr>
          <w:rFonts w:ascii="Arial" w:hAnsi="Arial" w:cs="Arial"/>
          <w:szCs w:val="24"/>
          <w:lang w:val="en-GB"/>
        </w:rPr>
        <w:tab/>
      </w:r>
      <w:r w:rsidRPr="005556C4">
        <w:rPr>
          <w:rFonts w:ascii="Arial" w:hAnsi="Arial" w:cs="Arial"/>
          <w:szCs w:val="24"/>
          <w:lang w:val="en-GB"/>
        </w:rPr>
        <w:tab/>
      </w:r>
      <w:r w:rsidRPr="005556C4">
        <w:rPr>
          <w:rFonts w:ascii="Arial" w:hAnsi="Arial" w:cs="Arial"/>
          <w:szCs w:val="24"/>
          <w:lang w:val="en-GB"/>
        </w:rPr>
        <w:tab/>
      </w:r>
      <w:r w:rsidRPr="005556C4">
        <w:rPr>
          <w:rFonts w:ascii="Arial" w:hAnsi="Arial" w:cs="Arial"/>
          <w:szCs w:val="24"/>
          <w:lang w:val="en-GB"/>
        </w:rPr>
        <w:tab/>
      </w:r>
      <w:r w:rsidRPr="005556C4">
        <w:rPr>
          <w:rFonts w:ascii="Arial" w:hAnsi="Arial" w:cs="Arial"/>
          <w:szCs w:val="24"/>
          <w:lang w:val="en-GB"/>
        </w:rPr>
        <w:tab/>
      </w:r>
      <w:r w:rsidRPr="005556C4">
        <w:rPr>
          <w:rFonts w:ascii="Arial" w:hAnsi="Arial" w:cs="Arial"/>
          <w:szCs w:val="24"/>
          <w:u w:val="single"/>
          <w:lang w:val="en-GB"/>
        </w:rPr>
        <w:t>per dose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Live, attenuated strain </w:t>
      </w:r>
      <w:r w:rsidRPr="005556C4">
        <w:rPr>
          <w:rFonts w:ascii="Arial" w:hAnsi="Arial" w:cs="Arial"/>
          <w:szCs w:val="24"/>
          <w:lang w:val="en-GB"/>
        </w:rPr>
        <w:t>ts</w:t>
      </w:r>
      <w:r w:rsidRPr="005556C4">
        <w:rPr>
          <w:rFonts w:ascii="Arial" w:hAnsi="Arial" w:cs="Arial"/>
          <w:szCs w:val="24"/>
          <w:lang w:val="en-GB"/>
        </w:rPr>
        <w:t xml:space="preserve"> 1B</w:t>
      </w:r>
      <w:r w:rsidRPr="005556C4">
        <w:rPr>
          <w:rFonts w:ascii="Arial" w:hAnsi="Arial" w:cs="Arial"/>
          <w:i/>
          <w:szCs w:val="24"/>
          <w:lang w:val="en-GB"/>
        </w:rPr>
        <w:t xml:space="preserve">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i/>
          <w:szCs w:val="24"/>
          <w:lang w:val="en-GB"/>
        </w:rPr>
        <w:tab/>
      </w:r>
      <w:r w:rsidRPr="005556C4">
        <w:rPr>
          <w:rFonts w:ascii="Arial" w:hAnsi="Arial" w:cs="Arial"/>
          <w:szCs w:val="24"/>
          <w:lang w:val="en-GB"/>
        </w:rPr>
        <w:tab/>
        <w:t>10</w:t>
      </w:r>
      <w:r w:rsidRPr="005556C4">
        <w:rPr>
          <w:rFonts w:ascii="Arial" w:hAnsi="Arial" w:cs="Arial"/>
          <w:szCs w:val="24"/>
          <w:vertAlign w:val="superscript"/>
          <w:lang w:val="en-GB"/>
        </w:rPr>
        <w:t xml:space="preserve">5.0 </w:t>
      </w:r>
      <w:r w:rsidRPr="005556C4">
        <w:rPr>
          <w:rFonts w:ascii="Arial" w:hAnsi="Arial" w:cs="Arial"/>
          <w:szCs w:val="24"/>
          <w:lang w:val="en-GB"/>
        </w:rPr>
        <w:t>-10</w:t>
      </w:r>
      <w:r w:rsidRPr="005556C4">
        <w:rPr>
          <w:rFonts w:ascii="Arial" w:hAnsi="Arial" w:cs="Arial"/>
          <w:szCs w:val="24"/>
          <w:vertAlign w:val="superscript"/>
          <w:lang w:val="en-GB"/>
        </w:rPr>
        <w:t>6.9</w:t>
      </w:r>
      <w:r w:rsidRPr="005556C4">
        <w:rPr>
          <w:rFonts w:ascii="Arial" w:hAnsi="Arial" w:cs="Arial"/>
          <w:szCs w:val="24"/>
          <w:lang w:val="en-GB"/>
        </w:rPr>
        <w:t>IFU</w:t>
      </w:r>
      <w:r>
        <w:rPr>
          <w:rFonts w:ascii="Arial" w:hAnsi="Arial" w:cs="Arial"/>
          <w:szCs w:val="24"/>
          <w:lang w:val="en-GB"/>
        </w:rPr>
        <w:t>*</w:t>
      </w:r>
      <w:r w:rsidRPr="005556C4">
        <w:rPr>
          <w:rFonts w:ascii="Arial" w:hAnsi="Arial" w:cs="Arial"/>
          <w:szCs w:val="24"/>
          <w:lang w:val="en-GB"/>
        </w:rPr>
        <w:t xml:space="preserve"> </w:t>
      </w:r>
    </w:p>
    <w:p w:rsidR="008B26BC" w:rsidRPr="005556C4"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For the full list of excipients, see section 6.1.</w:t>
      </w:r>
    </w:p>
    <w:p w:rsidR="008B26BC" w:rsidRPr="005556C4" w:rsidP="008B26BC">
      <w:pPr>
        <w:tabs>
          <w:tab w:val="left" w:pos="720"/>
        </w:tabs>
        <w:ind w:left="567"/>
        <w:rPr>
          <w:rFonts w:ascii="Arial" w:hAnsi="Arial" w:cs="Arial"/>
          <w:szCs w:val="24"/>
          <w:lang w:val="en-GB"/>
        </w:rPr>
      </w:pPr>
    </w:p>
    <w:p w:rsidR="008B26BC" w:rsidRPr="005556C4" w:rsidP="008B26BC">
      <w:pPr>
        <w:pStyle w:val="12bold"/>
      </w:pPr>
      <w:r w:rsidRPr="005556C4">
        <w:t>PHARMACEUTICAL FORM</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Lyophilisate</w:t>
      </w:r>
      <w:r w:rsidRPr="005556C4">
        <w:rPr>
          <w:rFonts w:ascii="Arial" w:hAnsi="Arial" w:cs="Arial"/>
          <w:szCs w:val="24"/>
          <w:lang w:val="en-GB"/>
        </w:rPr>
        <w:t xml:space="preserve"> and solvent for suspension for injection.</w:t>
      </w:r>
    </w:p>
    <w:p w:rsidR="008B26BC" w:rsidRPr="005556C4" w:rsidP="008B26BC">
      <w:pPr>
        <w:ind w:left="567"/>
        <w:rPr>
          <w:rFonts w:ascii="Arial" w:hAnsi="Arial" w:cs="Arial"/>
          <w:szCs w:val="24"/>
          <w:lang w:val="en-GB"/>
        </w:rPr>
      </w:pPr>
      <w:r w:rsidRPr="005556C4">
        <w:rPr>
          <w:rFonts w:ascii="Arial" w:hAnsi="Arial" w:cs="Arial"/>
          <w:szCs w:val="24"/>
          <w:lang w:val="en-GB"/>
        </w:rPr>
        <w:t>Lyophilisate</w:t>
      </w:r>
      <w:r w:rsidRPr="005556C4">
        <w:rPr>
          <w:rFonts w:ascii="Arial" w:hAnsi="Arial" w:cs="Arial"/>
          <w:szCs w:val="24"/>
          <w:lang w:val="en-GB"/>
        </w:rPr>
        <w:t>: Off-white to cream-coloured pellet.</w:t>
      </w:r>
    </w:p>
    <w:p w:rsidR="008B26BC" w:rsidRPr="005556C4" w:rsidP="008B26BC">
      <w:pPr>
        <w:ind w:left="567"/>
        <w:rPr>
          <w:rFonts w:ascii="Arial" w:hAnsi="Arial" w:cs="Arial"/>
          <w:szCs w:val="24"/>
          <w:lang w:val="en-GB"/>
        </w:rPr>
      </w:pPr>
      <w:r w:rsidRPr="005556C4">
        <w:rPr>
          <w:rFonts w:ascii="Arial" w:hAnsi="Arial" w:cs="Arial"/>
          <w:szCs w:val="24"/>
          <w:lang w:val="en-GB"/>
        </w:rPr>
        <w:t>Solvent: Colourless solution.</w:t>
      </w:r>
    </w:p>
    <w:p w:rsidR="008B26BC" w:rsidRPr="005556C4" w:rsidP="008B26BC">
      <w:pPr>
        <w:tabs>
          <w:tab w:val="left" w:pos="720"/>
        </w:tabs>
        <w:ind w:left="567"/>
        <w:rPr>
          <w:rFonts w:ascii="Arial" w:hAnsi="Arial" w:cs="Arial"/>
          <w:szCs w:val="24"/>
          <w:lang w:val="en-GB"/>
        </w:rPr>
      </w:pPr>
    </w:p>
    <w:p w:rsidR="008B26BC" w:rsidRPr="005556C4" w:rsidP="008B26BC">
      <w:pPr>
        <w:pStyle w:val="12bold"/>
      </w:pPr>
      <w:r w:rsidRPr="005556C4">
        <w:t>CLINICAL PARTICULARS</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rPr>
          <w:rFonts w:ascii="Arial" w:hAnsi="Arial" w:cs="Arial"/>
          <w:b/>
          <w:szCs w:val="24"/>
          <w:lang w:val="en-GB"/>
        </w:rPr>
      </w:pPr>
      <w:r w:rsidRPr="005556C4">
        <w:rPr>
          <w:rFonts w:ascii="Arial" w:hAnsi="Arial" w:cs="Arial"/>
          <w:b/>
          <w:szCs w:val="24"/>
          <w:lang w:val="en-GB"/>
        </w:rPr>
        <w:t>Target species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Susceptible female breeding sheep.</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Indications for use, specifying the target species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For the active immunisation of susceptible female breeding sheep to reduce abortion caused by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 xml:space="preserve"> infection.</w:t>
      </w:r>
    </w:p>
    <w:p w:rsidR="008B26BC" w:rsidRPr="005556C4" w:rsidP="008B26BC">
      <w:pPr>
        <w:tabs>
          <w:tab w:val="left" w:pos="993"/>
        </w:tabs>
        <w:ind w:left="567"/>
        <w:rPr>
          <w:rFonts w:ascii="Arial" w:hAnsi="Arial" w:cs="Arial"/>
          <w:szCs w:val="24"/>
          <w:lang w:val="en-GB"/>
        </w:rPr>
      </w:pPr>
      <w:r w:rsidRPr="005556C4">
        <w:rPr>
          <w:rFonts w:ascii="Arial" w:hAnsi="Arial" w:cs="Arial"/>
          <w:szCs w:val="24"/>
          <w:lang w:val="en-GB"/>
        </w:rPr>
        <w:t xml:space="preserve">Challenge studies have demonstrated that protection against Enzootic abortion and excretion of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 xml:space="preserve"> post-challenge is undiminished for at least three years post vaccination with </w:t>
      </w:r>
      <w:r w:rsidRPr="005556C4">
        <w:rPr>
          <w:rFonts w:ascii="Arial" w:hAnsi="Arial" w:cs="Arial"/>
          <w:szCs w:val="24"/>
          <w:lang w:val="en-GB"/>
        </w:rPr>
        <w:t>Enzovax</w:t>
      </w:r>
      <w:r w:rsidRPr="005556C4">
        <w:rPr>
          <w:rFonts w:ascii="Arial" w:hAnsi="Arial" w:cs="Arial"/>
          <w:szCs w:val="24"/>
          <w:lang w:val="en-GB"/>
        </w:rPr>
        <w:t>.</w:t>
      </w:r>
    </w:p>
    <w:p w:rsidR="008B26BC" w:rsidRPr="005556C4" w:rsidP="008B26BC">
      <w:pPr>
        <w:ind w:left="567"/>
        <w:rPr>
          <w:rFonts w:ascii="Arial" w:hAnsi="Arial" w:cs="Arial"/>
          <w:szCs w:val="24"/>
          <w:lang w:val="en-GB"/>
        </w:rPr>
      </w:pPr>
      <w:r w:rsidRPr="005556C4">
        <w:rPr>
          <w:rFonts w:ascii="Arial" w:hAnsi="Arial" w:cs="Arial"/>
          <w:szCs w:val="24"/>
          <w:lang w:val="en-GB"/>
        </w:rPr>
        <w:t xml:space="preserve">Field studies in endemically infected flocks maintaining a policy of vaccinating incoming ewes with </w:t>
      </w:r>
      <w:r w:rsidRPr="005556C4">
        <w:rPr>
          <w:rFonts w:ascii="Arial" w:hAnsi="Arial" w:cs="Arial"/>
          <w:szCs w:val="24"/>
          <w:lang w:val="en-GB"/>
        </w:rPr>
        <w:t>Enzovax</w:t>
      </w:r>
      <w:r w:rsidRPr="005556C4">
        <w:rPr>
          <w:rFonts w:ascii="Arial" w:hAnsi="Arial" w:cs="Arial"/>
          <w:szCs w:val="24"/>
          <w:lang w:val="en-GB"/>
        </w:rPr>
        <w:t xml:space="preserve"> indicate that enzootic abortion levels remain very low in ewes vaccinated 4 years previously.</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rPr>
          <w:rFonts w:ascii="Arial" w:hAnsi="Arial" w:cs="Arial"/>
          <w:b/>
          <w:szCs w:val="24"/>
          <w:lang w:val="en-GB"/>
        </w:rPr>
      </w:pPr>
      <w:r w:rsidRPr="005556C4">
        <w:rPr>
          <w:rFonts w:ascii="Arial" w:hAnsi="Arial" w:cs="Arial"/>
          <w:b/>
          <w:szCs w:val="24"/>
          <w:lang w:val="en-GB"/>
        </w:rPr>
        <w:t>Contraindications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Do not vaccinate pregnant animals.</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Do not vaccinate animals less than 4 weeks before mating.</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Do not vaccinate animals which are being treated with antibiotics, particularly </w:t>
      </w:r>
      <w:r w:rsidRPr="005556C4">
        <w:rPr>
          <w:rFonts w:ascii="Arial" w:hAnsi="Arial" w:cs="Arial"/>
          <w:szCs w:val="24"/>
          <w:lang w:val="en-GB"/>
        </w:rPr>
        <w:t>tetracyclines</w:t>
      </w:r>
      <w:r w:rsidRPr="005556C4">
        <w:rPr>
          <w:rFonts w:ascii="Arial" w:hAnsi="Arial" w:cs="Arial"/>
          <w:szCs w:val="24"/>
          <w:lang w:val="en-GB"/>
        </w:rPr>
        <w:t>.</w:t>
      </w:r>
    </w:p>
    <w:p w:rsidR="008B26BC" w:rsidP="008B26BC">
      <w:pPr>
        <w:widowControl/>
        <w:rPr>
          <w:rFonts w:ascii="Arial" w:hAnsi="Arial" w:cs="Arial"/>
          <w:b/>
          <w:snapToGrid/>
          <w:szCs w:val="24"/>
          <w:lang w:val="en-GB"/>
        </w:rPr>
      </w:pPr>
      <w:r>
        <w:rPr>
          <w:rFonts w:ascii="Arial" w:hAnsi="Arial" w:cs="Arial"/>
          <w:b/>
          <w:szCs w:val="24"/>
          <w:lang w:val="en-GB"/>
        </w:rPr>
        <w:br w:type="page"/>
      </w:r>
    </w:p>
    <w:p w:rsidR="008B26BC" w:rsidRPr="005556C4" w:rsidP="008B26BC">
      <w:pPr>
        <w:pStyle w:val="ListParagraph"/>
        <w:numPr>
          <w:ilvl w:val="1"/>
          <w:numId w:val="4"/>
        </w:numPr>
        <w:tabs>
          <w:tab w:val="left" w:pos="567"/>
          <w:tab w:val="left" w:pos="720"/>
        </w:tabs>
        <w:rPr>
          <w:rFonts w:ascii="Arial" w:hAnsi="Arial" w:cs="Arial"/>
          <w:b/>
          <w:szCs w:val="24"/>
          <w:lang w:val="en-GB"/>
        </w:rPr>
      </w:pPr>
      <w:r w:rsidRPr="005556C4">
        <w:rPr>
          <w:rFonts w:ascii="Arial" w:hAnsi="Arial" w:cs="Arial"/>
          <w:b/>
          <w:szCs w:val="24"/>
          <w:lang w:val="en-GB"/>
        </w:rPr>
        <w:t>Special warnings for each target species</w:t>
      </w:r>
    </w:p>
    <w:p w:rsidR="008B26BC"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 xml:space="preserve"> is only one of the causes of abortion in sheep. If the abortion rate remains unchanged in flocks which have been vaccinated with </w:t>
      </w:r>
      <w:r w:rsidRPr="005556C4">
        <w:rPr>
          <w:rFonts w:ascii="Arial" w:hAnsi="Arial" w:cs="Arial"/>
          <w:szCs w:val="24"/>
          <w:lang w:val="en-GB"/>
        </w:rPr>
        <w:t>Enzovax</w:t>
      </w:r>
      <w:r w:rsidRPr="005556C4">
        <w:rPr>
          <w:rFonts w:ascii="Arial" w:hAnsi="Arial" w:cs="Arial"/>
          <w:szCs w:val="24"/>
          <w:lang w:val="en-GB"/>
        </w:rPr>
        <w:t xml:space="preserve"> it is recommended that veterinary advice is sought.</w:t>
      </w:r>
    </w:p>
    <w:p w:rsidR="008B26BC" w:rsidRPr="005556C4" w:rsidP="008B26BC">
      <w:pPr>
        <w:tabs>
          <w:tab w:val="left" w:pos="720"/>
        </w:tabs>
        <w:autoSpaceDE w:val="0"/>
        <w:autoSpaceDN w:val="0"/>
        <w:adjustRightInd w:val="0"/>
        <w:ind w:left="567"/>
        <w:rPr>
          <w:rFonts w:ascii="Arial" w:hAnsi="Arial" w:cs="Arial"/>
          <w:szCs w:val="24"/>
          <w:lang w:val="en-GB"/>
        </w:rPr>
      </w:pPr>
      <w:r w:rsidRPr="005556C4">
        <w:rPr>
          <w:rFonts w:ascii="Arial" w:hAnsi="Arial" w:cs="Arial"/>
          <w:szCs w:val="24"/>
          <w:lang w:val="en-GB"/>
        </w:rPr>
        <w:t xml:space="preserve">The epidemiology of abortion due to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 xml:space="preserve"> in ewes involves a long incubation period. Ewes that abort in any lambing season have usually been infected at the previous lambing. Field trial data indicate that vaccinating </w:t>
      </w:r>
      <w:r w:rsidRPr="005556C4">
        <w:rPr>
          <w:rFonts w:ascii="Arial" w:hAnsi="Arial" w:cs="Arial"/>
          <w:szCs w:val="24"/>
          <w:u w:val="single"/>
          <w:lang w:val="en-GB"/>
        </w:rPr>
        <w:t>incubating</w:t>
      </w:r>
      <w:r w:rsidRPr="005556C4">
        <w:rPr>
          <w:rFonts w:ascii="Arial" w:hAnsi="Arial" w:cs="Arial"/>
          <w:szCs w:val="24"/>
          <w:lang w:val="en-GB"/>
        </w:rPr>
        <w:t xml:space="preserve"> ewes will reduce the incidence of abortion, but a proportion can still go on to abort. </w:t>
      </w:r>
    </w:p>
    <w:p w:rsidR="008B26BC" w:rsidRPr="005556C4" w:rsidP="008B26BC">
      <w:pPr>
        <w:tabs>
          <w:tab w:val="left" w:pos="720"/>
        </w:tabs>
        <w:autoSpaceDE w:val="0"/>
        <w:autoSpaceDN w:val="0"/>
        <w:adjustRightInd w:val="0"/>
        <w:ind w:left="567"/>
        <w:rPr>
          <w:rFonts w:ascii="Arial" w:hAnsi="Arial" w:cs="Arial"/>
          <w:i/>
          <w:iCs/>
          <w:szCs w:val="24"/>
          <w:lang w:val="en-GB"/>
        </w:rPr>
      </w:pPr>
      <w:r w:rsidRPr="005556C4">
        <w:rPr>
          <w:rFonts w:ascii="Arial" w:hAnsi="Arial" w:cs="Arial"/>
          <w:szCs w:val="24"/>
          <w:lang w:val="en-GB"/>
        </w:rPr>
        <w:t xml:space="preserve">Care should be taken in handling such abortions as susceptible humans may be at risk of infection. </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A good immune response is reliant on the reaction of an immunogenic agent and a fully competent immune system. Immunogenicity of the vaccine antigen will be reduced by poor storage or inappropriate administration. </w:t>
      </w:r>
      <w:r w:rsidRPr="005556C4">
        <w:rPr>
          <w:rFonts w:ascii="Arial" w:hAnsi="Arial" w:cs="Arial"/>
          <w:szCs w:val="24"/>
          <w:lang w:val="en-GB"/>
        </w:rPr>
        <w:t>Immunocompetence</w:t>
      </w:r>
      <w:r w:rsidRPr="005556C4">
        <w:rPr>
          <w:rFonts w:ascii="Arial" w:hAnsi="Arial" w:cs="Arial"/>
          <w:szCs w:val="24"/>
          <w:lang w:val="en-GB"/>
        </w:rPr>
        <w:t xml:space="preserve"> of the animal may be compromised by a variety of factors including poor health, nutritional status, genetic factors, concurrent drug therapy and stress.</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Special precautions for use</w:t>
      </w:r>
    </w:p>
    <w:p w:rsidR="008B26BC" w:rsidP="008B26BC">
      <w:pPr>
        <w:tabs>
          <w:tab w:val="left" w:pos="720"/>
          <w:tab w:val="left" w:pos="1276"/>
        </w:tabs>
        <w:ind w:left="567"/>
        <w:rPr>
          <w:rFonts w:ascii="Arial" w:hAnsi="Arial" w:cs="Arial"/>
          <w:szCs w:val="24"/>
          <w:u w:val="single"/>
          <w:lang w:val="en-GB"/>
        </w:rPr>
      </w:pPr>
    </w:p>
    <w:p w:rsidR="008B26BC" w:rsidRPr="005556C4" w:rsidP="008B26BC">
      <w:pPr>
        <w:pStyle w:val="ListParagraph"/>
        <w:numPr>
          <w:ilvl w:val="0"/>
          <w:numId w:val="5"/>
        </w:numPr>
        <w:tabs>
          <w:tab w:val="clear" w:pos="1134"/>
        </w:tabs>
        <w:rPr>
          <w:rFonts w:ascii="Arial" w:hAnsi="Arial" w:cs="Arial"/>
          <w:szCs w:val="24"/>
          <w:lang w:val="en-GB"/>
        </w:rPr>
      </w:pPr>
      <w:r w:rsidRPr="005556C4">
        <w:rPr>
          <w:rFonts w:ascii="Arial" w:hAnsi="Arial" w:cs="Arial"/>
          <w:szCs w:val="24"/>
          <w:lang w:val="en-GB"/>
        </w:rPr>
        <w:t>Special precautions for use in animals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1701"/>
        <w:rPr>
          <w:rFonts w:ascii="Arial" w:hAnsi="Arial" w:cs="Arial"/>
          <w:b/>
          <w:szCs w:val="24"/>
          <w:lang w:val="en-GB"/>
        </w:rPr>
      </w:pPr>
      <w:r w:rsidRPr="005556C4">
        <w:rPr>
          <w:rFonts w:ascii="Arial" w:hAnsi="Arial" w:cs="Arial"/>
          <w:szCs w:val="24"/>
          <w:lang w:val="en-GB"/>
        </w:rPr>
        <w:t>None.</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0"/>
          <w:numId w:val="5"/>
        </w:numPr>
        <w:tabs>
          <w:tab w:val="clear" w:pos="567"/>
          <w:tab w:val="clear" w:pos="1134"/>
        </w:tabs>
        <w:rPr>
          <w:rFonts w:ascii="Arial" w:hAnsi="Arial" w:cs="Arial"/>
          <w:szCs w:val="24"/>
          <w:lang w:val="en-GB"/>
        </w:rPr>
      </w:pPr>
      <w:r w:rsidRPr="005556C4">
        <w:rPr>
          <w:rFonts w:ascii="Arial" w:hAnsi="Arial" w:cs="Arial"/>
          <w:szCs w:val="24"/>
          <w:lang w:val="en-GB"/>
        </w:rPr>
        <w:t>Special precautions to be taken by the person administering the veterinary medicinal product to animals</w:t>
      </w:r>
    </w:p>
    <w:p w:rsidR="008B26BC" w:rsidP="008B26BC">
      <w:pPr>
        <w:tabs>
          <w:tab w:val="left" w:pos="720"/>
        </w:tabs>
        <w:autoSpaceDE w:val="0"/>
        <w:autoSpaceDN w:val="0"/>
        <w:adjustRightInd w:val="0"/>
        <w:ind w:left="567"/>
        <w:rPr>
          <w:rFonts w:ascii="Arial" w:hAnsi="Arial" w:cs="Arial"/>
          <w:szCs w:val="24"/>
          <w:lang w:val="en-GB"/>
        </w:rPr>
      </w:pPr>
    </w:p>
    <w:p w:rsidR="008B26BC" w:rsidRPr="005556C4" w:rsidP="008B26BC">
      <w:pPr>
        <w:tabs>
          <w:tab w:val="left" w:pos="720"/>
        </w:tabs>
        <w:autoSpaceDE w:val="0"/>
        <w:autoSpaceDN w:val="0"/>
        <w:adjustRightInd w:val="0"/>
        <w:ind w:left="1701"/>
        <w:rPr>
          <w:rFonts w:ascii="Arial" w:hAnsi="Arial" w:cs="Arial"/>
          <w:szCs w:val="24"/>
          <w:lang w:val="en-GB"/>
        </w:rPr>
      </w:pPr>
      <w:r w:rsidRPr="005556C4">
        <w:rPr>
          <w:rFonts w:ascii="Arial" w:hAnsi="Arial" w:cs="Arial"/>
          <w:szCs w:val="24"/>
          <w:lang w:val="en-GB"/>
        </w:rPr>
        <w:t>Enzovax</w:t>
      </w:r>
      <w:r w:rsidRPr="005556C4">
        <w:rPr>
          <w:rFonts w:ascii="Arial" w:hAnsi="Arial" w:cs="Arial"/>
          <w:szCs w:val="24"/>
          <w:lang w:val="en-GB"/>
        </w:rPr>
        <w:t xml:space="preserve"> should not be handled by pregnant women or women of child bearing age as the vaccine may cause abortion.</w:t>
      </w:r>
    </w:p>
    <w:p w:rsidR="008B26BC" w:rsidP="008B26BC">
      <w:pPr>
        <w:tabs>
          <w:tab w:val="left" w:pos="720"/>
        </w:tabs>
        <w:autoSpaceDE w:val="0"/>
        <w:autoSpaceDN w:val="0"/>
        <w:adjustRightInd w:val="0"/>
        <w:ind w:left="1701"/>
        <w:rPr>
          <w:rFonts w:ascii="Arial" w:hAnsi="Arial" w:cs="Arial"/>
          <w:szCs w:val="24"/>
          <w:lang w:val="en-GB"/>
        </w:rPr>
      </w:pPr>
      <w:r w:rsidRPr="005556C4">
        <w:rPr>
          <w:rFonts w:ascii="Arial" w:hAnsi="Arial" w:cs="Arial"/>
          <w:szCs w:val="24"/>
          <w:lang w:val="en-GB"/>
        </w:rPr>
        <w:t>Enzovax</w:t>
      </w:r>
      <w:r w:rsidRPr="005556C4">
        <w:rPr>
          <w:rFonts w:ascii="Arial" w:hAnsi="Arial" w:cs="Arial"/>
          <w:szCs w:val="24"/>
          <w:lang w:val="en-GB"/>
        </w:rPr>
        <w:t xml:space="preserve"> should not be handled by persons who are immuno-deficient (e.g. AIDS sufferers, persons undergoing chemotherapy or taking immuno-suppressive drugs). If in any doubt, you should consult your GP.</w:t>
      </w:r>
    </w:p>
    <w:p w:rsidR="008B26BC" w:rsidRPr="005556C4" w:rsidP="008B26BC">
      <w:pPr>
        <w:tabs>
          <w:tab w:val="left" w:pos="720"/>
        </w:tabs>
        <w:autoSpaceDE w:val="0"/>
        <w:autoSpaceDN w:val="0"/>
        <w:adjustRightInd w:val="0"/>
        <w:ind w:left="1701"/>
        <w:rPr>
          <w:rFonts w:ascii="Arial" w:hAnsi="Arial" w:cs="Arial"/>
          <w:szCs w:val="24"/>
          <w:lang w:val="en-GB"/>
        </w:rPr>
      </w:pPr>
    </w:p>
    <w:p w:rsidR="008B26BC" w:rsidRPr="005556C4" w:rsidP="008B26BC">
      <w:pPr>
        <w:tabs>
          <w:tab w:val="left" w:pos="720"/>
        </w:tabs>
        <w:ind w:left="1701"/>
        <w:rPr>
          <w:rFonts w:ascii="Arial" w:hAnsi="Arial" w:cs="Arial"/>
          <w:i/>
          <w:szCs w:val="24"/>
          <w:u w:val="single"/>
          <w:lang w:val="en-GB"/>
        </w:rPr>
      </w:pPr>
      <w:r w:rsidRPr="005556C4">
        <w:rPr>
          <w:rFonts w:ascii="Arial" w:hAnsi="Arial" w:cs="Arial"/>
          <w:i/>
          <w:szCs w:val="24"/>
          <w:u w:val="single"/>
          <w:lang w:val="en-GB"/>
        </w:rPr>
        <w:t>To the user:</w:t>
      </w:r>
    </w:p>
    <w:p w:rsidR="008B26BC" w:rsidRPr="005556C4" w:rsidP="008B26BC">
      <w:pPr>
        <w:autoSpaceDE w:val="0"/>
        <w:autoSpaceDN w:val="0"/>
        <w:adjustRightInd w:val="0"/>
        <w:ind w:left="1701"/>
        <w:rPr>
          <w:rFonts w:ascii="Arial" w:hAnsi="Arial" w:cs="Arial"/>
          <w:szCs w:val="24"/>
          <w:lang w:val="en-GB"/>
        </w:rPr>
      </w:pPr>
      <w:r w:rsidRPr="005556C4">
        <w:rPr>
          <w:rFonts w:ascii="Arial" w:hAnsi="Arial" w:cs="Arial"/>
          <w:szCs w:val="24"/>
          <w:lang w:val="en-GB"/>
        </w:rPr>
        <w:t>Operators should wear gloves when handling the vaccine.</w:t>
      </w:r>
    </w:p>
    <w:p w:rsidR="008B26BC" w:rsidRPr="005556C4" w:rsidP="008B26BC">
      <w:pPr>
        <w:autoSpaceDE w:val="0"/>
        <w:autoSpaceDN w:val="0"/>
        <w:adjustRightInd w:val="0"/>
        <w:ind w:left="1701"/>
        <w:rPr>
          <w:rFonts w:ascii="Arial" w:hAnsi="Arial" w:cs="Arial"/>
          <w:szCs w:val="24"/>
          <w:lang w:val="en-GB"/>
        </w:rPr>
      </w:pPr>
      <w:r w:rsidRPr="005556C4">
        <w:rPr>
          <w:rFonts w:ascii="Arial" w:hAnsi="Arial" w:cs="Arial"/>
          <w:szCs w:val="24"/>
          <w:lang w:val="en-GB"/>
        </w:rPr>
        <w:t xml:space="preserve">Care should be taken to avoid self-injection, but if this occurs, immediate medical advice should be sought and the doctor informed that self-injection with a living </w:t>
      </w:r>
      <w:r w:rsidRPr="005556C4">
        <w:rPr>
          <w:rFonts w:ascii="Arial" w:hAnsi="Arial" w:cs="Arial"/>
          <w:szCs w:val="24"/>
          <w:lang w:val="en-GB"/>
        </w:rPr>
        <w:t>chlamydophila</w:t>
      </w:r>
      <w:r w:rsidRPr="005556C4">
        <w:rPr>
          <w:rFonts w:ascii="Arial" w:hAnsi="Arial" w:cs="Arial"/>
          <w:szCs w:val="24"/>
          <w:lang w:val="en-GB"/>
        </w:rPr>
        <w:t xml:space="preserve"> vaccine has occurred. </w:t>
      </w:r>
    </w:p>
    <w:p w:rsidR="008B26BC" w:rsidRPr="005556C4" w:rsidP="008B26BC">
      <w:pPr>
        <w:autoSpaceDE w:val="0"/>
        <w:autoSpaceDN w:val="0"/>
        <w:adjustRightInd w:val="0"/>
        <w:ind w:left="1701"/>
        <w:rPr>
          <w:rFonts w:ascii="Arial" w:hAnsi="Arial" w:cs="Arial"/>
          <w:szCs w:val="24"/>
          <w:lang w:val="en-GB"/>
        </w:rPr>
      </w:pPr>
    </w:p>
    <w:p w:rsidR="008B26BC" w:rsidRPr="005556C4" w:rsidP="008B26BC">
      <w:pPr>
        <w:tabs>
          <w:tab w:val="left" w:pos="720"/>
        </w:tabs>
        <w:ind w:left="1701"/>
        <w:rPr>
          <w:rFonts w:ascii="Arial" w:hAnsi="Arial" w:cs="Arial"/>
          <w:i/>
          <w:szCs w:val="24"/>
          <w:u w:val="single"/>
          <w:lang w:val="en-GB"/>
        </w:rPr>
      </w:pPr>
      <w:r w:rsidRPr="005556C4">
        <w:rPr>
          <w:rFonts w:ascii="Arial" w:hAnsi="Arial" w:cs="Arial"/>
          <w:i/>
          <w:szCs w:val="24"/>
          <w:u w:val="single"/>
          <w:lang w:val="en-GB"/>
        </w:rPr>
        <w:t xml:space="preserve">To the physician: </w:t>
      </w:r>
    </w:p>
    <w:p w:rsidR="008B26BC" w:rsidRPr="005556C4" w:rsidP="008B26BC">
      <w:pPr>
        <w:autoSpaceDE w:val="0"/>
        <w:autoSpaceDN w:val="0"/>
        <w:adjustRightInd w:val="0"/>
        <w:ind w:left="1701"/>
        <w:rPr>
          <w:rFonts w:ascii="Arial" w:hAnsi="Arial" w:cs="Arial"/>
          <w:szCs w:val="24"/>
          <w:lang w:val="en-GB"/>
        </w:rPr>
      </w:pPr>
      <w:r w:rsidRPr="005556C4">
        <w:rPr>
          <w:rFonts w:ascii="Arial" w:hAnsi="Arial" w:cs="Arial"/>
          <w:szCs w:val="24"/>
          <w:lang w:val="en-GB"/>
        </w:rPr>
        <w:t xml:space="preserve">Tetracycline therapy is the current recognised treatment for infection with </w:t>
      </w:r>
      <w:r w:rsidRPr="005556C4">
        <w:rPr>
          <w:rFonts w:ascii="Arial" w:hAnsi="Arial" w:cs="Arial"/>
          <w:i/>
          <w:iCs/>
          <w:szCs w:val="24"/>
          <w:lang w:val="en-GB"/>
        </w:rPr>
        <w:t>Chlamydophila</w:t>
      </w:r>
      <w:r w:rsidRPr="005556C4">
        <w:rPr>
          <w:rFonts w:ascii="Arial" w:hAnsi="Arial" w:cs="Arial"/>
          <w:i/>
          <w:iCs/>
          <w:szCs w:val="24"/>
          <w:lang w:val="en-GB"/>
        </w:rPr>
        <w:t xml:space="preserve"> </w:t>
      </w:r>
      <w:r w:rsidRPr="005556C4">
        <w:rPr>
          <w:rFonts w:ascii="Arial" w:hAnsi="Arial" w:cs="Arial"/>
          <w:i/>
          <w:iCs/>
          <w:szCs w:val="24"/>
          <w:lang w:val="en-GB"/>
        </w:rPr>
        <w:t>abortus</w:t>
      </w:r>
      <w:r w:rsidRPr="005556C4">
        <w:rPr>
          <w:rFonts w:ascii="Arial" w:hAnsi="Arial" w:cs="Arial"/>
          <w:i/>
          <w:iCs/>
          <w:szCs w:val="24"/>
          <w:lang w:val="en-GB"/>
        </w:rPr>
        <w:t xml:space="preserve"> </w:t>
      </w:r>
      <w:r w:rsidRPr="005556C4">
        <w:rPr>
          <w:rFonts w:ascii="Arial" w:hAnsi="Arial" w:cs="Arial"/>
          <w:szCs w:val="24"/>
          <w:lang w:val="en-GB"/>
        </w:rPr>
        <w:t>in humans.</w:t>
      </w:r>
    </w:p>
    <w:p w:rsidR="008B26BC" w:rsidRPr="005556C4" w:rsidP="008B26BC">
      <w:pPr>
        <w:tabs>
          <w:tab w:val="left" w:pos="720"/>
        </w:tabs>
        <w:ind w:left="567"/>
        <w:rPr>
          <w:rFonts w:ascii="Arial" w:hAnsi="Arial" w:cs="Arial"/>
          <w:b/>
          <w:szCs w:val="24"/>
          <w:lang w:val="en-GB"/>
        </w:rPr>
      </w:pPr>
    </w:p>
    <w:p w:rsidR="008B26BC" w:rsidP="008B26BC">
      <w:pPr>
        <w:widowControl/>
        <w:rPr>
          <w:rFonts w:ascii="Arial" w:hAnsi="Arial" w:cs="Arial"/>
          <w:b/>
          <w:snapToGrid/>
          <w:szCs w:val="24"/>
          <w:lang w:val="en-GB"/>
        </w:rPr>
      </w:pPr>
      <w:r>
        <w:rPr>
          <w:rFonts w:ascii="Arial" w:hAnsi="Arial" w:cs="Arial"/>
          <w:b/>
          <w:szCs w:val="24"/>
          <w:lang w:val="en-GB"/>
        </w:rPr>
        <w:br w:type="page"/>
      </w:r>
    </w:p>
    <w:p w:rsidR="008B26BC" w:rsidRPr="005556C4" w:rsidP="008B26BC">
      <w:pPr>
        <w:pStyle w:val="ListParagraph"/>
        <w:numPr>
          <w:ilvl w:val="1"/>
          <w:numId w:val="4"/>
        </w:numPr>
        <w:tabs>
          <w:tab w:val="left" w:pos="567"/>
          <w:tab w:val="left" w:pos="720"/>
        </w:tabs>
        <w:rPr>
          <w:rFonts w:ascii="Arial" w:hAnsi="Arial" w:cs="Arial"/>
          <w:szCs w:val="24"/>
          <w:lang w:val="en-GB"/>
        </w:rPr>
      </w:pPr>
      <w:r w:rsidRPr="005556C4">
        <w:rPr>
          <w:rFonts w:ascii="Arial" w:hAnsi="Arial" w:cs="Arial"/>
          <w:b/>
          <w:szCs w:val="24"/>
          <w:lang w:val="en-GB"/>
        </w:rPr>
        <w:t>Adverse reactions (frequency and seriousness)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b/>
          <w:szCs w:val="24"/>
          <w:lang w:val="en-GB"/>
        </w:rPr>
      </w:pPr>
      <w:r w:rsidRPr="005556C4">
        <w:rPr>
          <w:rFonts w:ascii="Arial" w:hAnsi="Arial" w:cs="Arial"/>
          <w:szCs w:val="24"/>
          <w:lang w:val="en-GB"/>
        </w:rPr>
        <w:t>A transient temperature rise may be observed after vaccination (average of up to 1.5˚C for a maximum of 3 days).</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In very rare cases abortions may occur where the vaccine strain can be identified.</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tabs>
          <w:tab w:val="left" w:pos="567"/>
        </w:tabs>
        <w:rPr>
          <w:rFonts w:ascii="Arial" w:hAnsi="Arial" w:cs="Arial"/>
          <w:szCs w:val="24"/>
          <w:lang w:val="en-GB"/>
        </w:rPr>
      </w:pPr>
      <w:r w:rsidRPr="005556C4">
        <w:rPr>
          <w:rFonts w:ascii="Arial" w:hAnsi="Arial" w:cs="Arial"/>
          <w:b/>
          <w:szCs w:val="24"/>
          <w:lang w:val="en-GB"/>
        </w:rPr>
        <w:t>Use during pregnancy, lactation or lay</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Do not use during pregnancy.</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Interaction with other medicinal products and other forms of interaction</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Safety and/or efficacy data are available which demonstrate that this vaccine can be administered the same day but not mixed with </w:t>
      </w:r>
      <w:r w:rsidRPr="005556C4">
        <w:rPr>
          <w:rFonts w:ascii="Arial" w:hAnsi="Arial" w:cs="Arial"/>
          <w:szCs w:val="24"/>
          <w:lang w:val="en-GB"/>
        </w:rPr>
        <w:t>Toxovax</w:t>
      </w:r>
      <w:r w:rsidRPr="005556C4">
        <w:rPr>
          <w:rFonts w:ascii="Arial" w:hAnsi="Arial" w:cs="Arial"/>
          <w:szCs w:val="24"/>
          <w:lang w:val="en-GB"/>
        </w:rPr>
        <w:t>.  However, it should be given at separate sites.</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No information is available on the safety and efficacy of this vaccine when used with any other veterinary medicinal product except the product mentioned above. A decision to use this vaccine before or after any other veterinary medicinal product therefore needs to be made on a case by case basis.</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bCs/>
          <w:szCs w:val="24"/>
          <w:lang w:val="en-GB"/>
        </w:rPr>
        <w:t>Amounts to be administered and administration route</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Dose: 2 ml by intramuscular or subcutaneous injection.</w:t>
      </w:r>
    </w:p>
    <w:p w:rsidR="008B26BC" w:rsidRPr="005556C4"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u w:val="single"/>
          <w:lang w:val="en-GB"/>
        </w:rPr>
      </w:pPr>
      <w:r w:rsidRPr="005556C4">
        <w:rPr>
          <w:rFonts w:ascii="Arial" w:hAnsi="Arial" w:cs="Arial"/>
          <w:szCs w:val="24"/>
          <w:u w:val="single"/>
          <w:lang w:val="en-GB"/>
        </w:rPr>
        <w:t>Reconstitution</w:t>
      </w:r>
      <w:r w:rsidRPr="005556C4">
        <w:rPr>
          <w:rFonts w:ascii="Arial" w:hAnsi="Arial" w:cs="Arial"/>
          <w:i/>
          <w:szCs w:val="24"/>
          <w:u w:val="single"/>
          <w:lang w:val="en-GB"/>
        </w:rPr>
        <w:t>:</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The vaccine is reconstituted with Unisolve immediately prior to use, allowing 2 ml of solvent per dose.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If using the vented transfer device push one end of the device through the centre of the vaccine vial using a firm, twisting action. Similarly, push the Unisolve vial onto the opposite end of the device taking care to ensure the spike penetrates the centre of the vial bung. Carefully allow solvent to flow into the vaccine vial without completely filling it. Ensure the vaccine plug is fully dissolved and then invert until all the vaccine suspension drains into the solvent vial. Remove the empty vaccine vial and the transfer spike from the solvent vial and place them into an appropriate disinfectant solution. </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Alternatively, remove approximately 5 ml of Unisolve from the vial with a syringe and needle, inject into the vaccine vial and swirl gently until the vaccine plug is fully dissolved. Remove the vaccine suspension from the vial, re-inject into the solvent vial and mix gently. Great care should be taken not to generate an aerosol. After reconstitution the vaccine should be kept cool and used as soon as possible (within 2 hours).</w:t>
      </w:r>
    </w:p>
    <w:p w:rsidR="008B26BC" w:rsidRPr="005556C4"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u w:val="single"/>
          <w:lang w:val="en-GB"/>
        </w:rPr>
      </w:pPr>
      <w:r w:rsidRPr="005556C4">
        <w:rPr>
          <w:rFonts w:ascii="Arial" w:hAnsi="Arial" w:cs="Arial"/>
          <w:szCs w:val="24"/>
          <w:u w:val="single"/>
          <w:lang w:val="en-GB"/>
        </w:rPr>
        <w:t>Administration</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Ewe lambs, where it is intended to breed from them, may be vaccinated from 5 months of age. Shearlings and older ewes should be vaccinated during the 4 month period prior to mating.</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Vaccination must take place at least 4 weeks before mating.</w:t>
      </w:r>
    </w:p>
    <w:p w:rsidR="008B26BC" w:rsidP="008B26BC">
      <w:pPr>
        <w:tabs>
          <w:tab w:val="left" w:pos="720"/>
        </w:tabs>
        <w:ind w:left="567"/>
        <w:rPr>
          <w:rFonts w:ascii="Arial" w:hAnsi="Arial" w:cs="Arial"/>
          <w:i/>
          <w:szCs w:val="24"/>
          <w:lang w:val="en-GB"/>
        </w:rPr>
      </w:pPr>
    </w:p>
    <w:p w:rsidR="00A00B64" w:rsidRPr="005556C4"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u w:val="single"/>
          <w:lang w:val="en-GB"/>
        </w:rPr>
      </w:pPr>
      <w:r w:rsidRPr="005556C4">
        <w:rPr>
          <w:rFonts w:ascii="Arial" w:hAnsi="Arial" w:cs="Arial"/>
          <w:szCs w:val="24"/>
          <w:u w:val="single"/>
          <w:lang w:val="en-GB"/>
        </w:rPr>
        <w:t>Injection equipment</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To minimise the risk of self-injection the vaccine should be administered using a disposable automatic syringe fitted with a guarded needle system according to the manufacturer's instructions. It is vital that a vented draw off tube is used with this equipment. </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Regular checks should be made to ensure the syringes are properly calibrated. Carefully attach the vial of reconstituted vaccine to the injection equipment and avoid creating aerosols during the priming process. It may be advisable to wear a visor while carrying out this operation.</w:t>
      </w:r>
    </w:p>
    <w:p w:rsidR="008B26BC" w:rsidRPr="005556C4" w:rsidP="008B26BC">
      <w:pPr>
        <w:tabs>
          <w:tab w:val="left" w:pos="720"/>
        </w:tabs>
        <w:ind w:left="567"/>
        <w:rPr>
          <w:rFonts w:ascii="Arial" w:hAnsi="Arial" w:cs="Arial"/>
          <w:i/>
          <w:szCs w:val="24"/>
          <w:lang w:val="en-GB"/>
        </w:rPr>
      </w:pPr>
    </w:p>
    <w:p w:rsidR="008B26BC" w:rsidRPr="005556C4" w:rsidP="008B26BC">
      <w:pPr>
        <w:tabs>
          <w:tab w:val="left" w:pos="720"/>
        </w:tabs>
        <w:ind w:left="567"/>
        <w:rPr>
          <w:rFonts w:ascii="Arial" w:hAnsi="Arial" w:cs="Arial"/>
          <w:szCs w:val="24"/>
          <w:u w:val="single"/>
          <w:lang w:val="en-GB"/>
        </w:rPr>
      </w:pPr>
      <w:r w:rsidRPr="005556C4">
        <w:rPr>
          <w:rFonts w:ascii="Arial" w:hAnsi="Arial" w:cs="Arial"/>
          <w:szCs w:val="24"/>
          <w:u w:val="single"/>
          <w:lang w:val="en-GB"/>
        </w:rPr>
        <w:t>Re-vaccination policy</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Challenge studies have demonstrated that protection against Enzootic abortion and excretion of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 xml:space="preserve"> post-challenge is undiminished for at least three years post vaccination with </w:t>
      </w:r>
      <w:r w:rsidRPr="005556C4">
        <w:rPr>
          <w:rFonts w:ascii="Arial" w:hAnsi="Arial" w:cs="Arial"/>
          <w:szCs w:val="24"/>
          <w:lang w:val="en-GB"/>
        </w:rPr>
        <w:t>Enzovax</w:t>
      </w:r>
      <w:r w:rsidRPr="005556C4">
        <w:rPr>
          <w:rFonts w:ascii="Arial" w:hAnsi="Arial" w:cs="Arial"/>
          <w:szCs w:val="24"/>
          <w:lang w:val="en-GB"/>
        </w:rPr>
        <w:t>.</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Re-vaccination is recommended every 3-4 years depending on farm management practices and conditions.</w:t>
      </w:r>
    </w:p>
    <w:p w:rsidR="008B26BC" w:rsidRPr="005556C4"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Field studies in endemically infected flocks maintaining a policy of vaccinating incoming ewes with </w:t>
      </w:r>
      <w:r w:rsidRPr="005556C4">
        <w:rPr>
          <w:rFonts w:ascii="Arial" w:hAnsi="Arial" w:cs="Arial"/>
          <w:szCs w:val="24"/>
          <w:lang w:val="en-GB"/>
        </w:rPr>
        <w:t>Enzovax</w:t>
      </w:r>
      <w:r w:rsidRPr="005556C4">
        <w:rPr>
          <w:rFonts w:ascii="Arial" w:hAnsi="Arial" w:cs="Arial"/>
          <w:szCs w:val="24"/>
          <w:lang w:val="en-GB"/>
        </w:rPr>
        <w:t xml:space="preserve"> indicate that enzootic abortion levels remain very low in ewes vaccinated 4 years previously.</w:t>
      </w:r>
    </w:p>
    <w:p w:rsidR="008B26BC" w:rsidRPr="005556C4" w:rsidP="008B26BC">
      <w:pPr>
        <w:pStyle w:val="spc2"/>
        <w:tabs>
          <w:tab w:val="clear" w:pos="567"/>
          <w:tab w:val="left" w:pos="720"/>
        </w:tabs>
        <w:rPr>
          <w:rFonts w:ascii="Arial" w:hAnsi="Arial" w:cs="Arial"/>
          <w:sz w:val="24"/>
          <w:szCs w:val="24"/>
          <w:lang w:val="en-GB"/>
        </w:rPr>
      </w:pPr>
    </w:p>
    <w:p w:rsidR="008B26BC" w:rsidRPr="005556C4" w:rsidP="008B26BC">
      <w:pPr>
        <w:pStyle w:val="BodyTextIndent"/>
        <w:numPr>
          <w:ilvl w:val="1"/>
          <w:numId w:val="4"/>
        </w:numPr>
        <w:spacing w:after="0"/>
        <w:rPr>
          <w:rFonts w:ascii="Arial" w:hAnsi="Arial" w:cs="Arial"/>
          <w:b/>
          <w:szCs w:val="24"/>
          <w:lang w:val="en-GB"/>
        </w:rPr>
      </w:pPr>
      <w:r w:rsidRPr="005556C4">
        <w:rPr>
          <w:rFonts w:ascii="Arial" w:hAnsi="Arial" w:cs="Arial"/>
          <w:b/>
          <w:szCs w:val="24"/>
        </w:rPr>
        <w:t>Overdose (symptoms, emergency procedures, antidotes), if necessary</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 xml:space="preserve">No particular symptoms at ten times dose other than a transient </w:t>
      </w:r>
      <w:r w:rsidRPr="005556C4">
        <w:rPr>
          <w:rFonts w:ascii="Arial" w:hAnsi="Arial" w:cs="Arial"/>
          <w:szCs w:val="24"/>
          <w:lang w:val="en-GB"/>
        </w:rPr>
        <w:t>pyrexic</w:t>
      </w:r>
      <w:r w:rsidRPr="005556C4">
        <w:rPr>
          <w:rFonts w:ascii="Arial" w:hAnsi="Arial" w:cs="Arial"/>
          <w:szCs w:val="24"/>
          <w:lang w:val="en-GB"/>
        </w:rPr>
        <w:t xml:space="preserve"> response similar to that seen after a single dose but up to 2˚C.</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Withdrawal period</w:t>
      </w:r>
    </w:p>
    <w:p w:rsidR="008B26BC" w:rsidP="008B26BC">
      <w:pPr>
        <w:tabs>
          <w:tab w:val="left" w:pos="720"/>
        </w:tabs>
        <w:autoSpaceDE w:val="0"/>
        <w:autoSpaceDN w:val="0"/>
        <w:adjustRightInd w:val="0"/>
        <w:ind w:left="567"/>
        <w:rPr>
          <w:rFonts w:ascii="Arial" w:hAnsi="Arial" w:cs="Arial"/>
          <w:szCs w:val="24"/>
          <w:lang w:val="en-GB"/>
        </w:rPr>
      </w:pPr>
    </w:p>
    <w:p w:rsidR="008B26BC" w:rsidRPr="005556C4" w:rsidP="008B26BC">
      <w:pPr>
        <w:tabs>
          <w:tab w:val="left" w:pos="720"/>
        </w:tabs>
        <w:autoSpaceDE w:val="0"/>
        <w:autoSpaceDN w:val="0"/>
        <w:adjustRightInd w:val="0"/>
        <w:ind w:left="567"/>
        <w:rPr>
          <w:rFonts w:ascii="Arial" w:hAnsi="Arial" w:cs="Arial"/>
          <w:szCs w:val="24"/>
          <w:lang w:val="en-GB" w:eastAsia="fi-FI"/>
        </w:rPr>
      </w:pPr>
      <w:r w:rsidRPr="005556C4">
        <w:rPr>
          <w:rFonts w:ascii="Arial" w:hAnsi="Arial" w:cs="Arial"/>
          <w:szCs w:val="24"/>
          <w:lang w:val="en-GB"/>
        </w:rPr>
        <w:t>Meat and offal: 7 days</w:t>
      </w:r>
    </w:p>
    <w:p w:rsidR="008B26BC" w:rsidRPr="005556C4" w:rsidP="008B26BC">
      <w:pPr>
        <w:tabs>
          <w:tab w:val="left" w:pos="720"/>
        </w:tabs>
        <w:ind w:left="567"/>
        <w:rPr>
          <w:rFonts w:ascii="Arial" w:hAnsi="Arial" w:cs="Arial"/>
          <w:b/>
          <w:szCs w:val="24"/>
          <w:lang w:val="en-GB"/>
        </w:rPr>
      </w:pPr>
    </w:p>
    <w:p w:rsidR="008B26BC" w:rsidRPr="005556C4" w:rsidP="008B26BC">
      <w:pPr>
        <w:pStyle w:val="12bold"/>
      </w:pPr>
      <w:r w:rsidRPr="005556C4">
        <w:t>IMMUNOLOGICAL PROPERTIES</w:t>
      </w:r>
    </w:p>
    <w:p w:rsidR="008B26BC" w:rsidP="008B26BC">
      <w:pPr>
        <w:tabs>
          <w:tab w:val="left" w:pos="720"/>
        </w:tabs>
        <w:ind w:left="567"/>
        <w:rPr>
          <w:rFonts w:ascii="Arial" w:hAnsi="Arial" w:cs="Arial"/>
          <w:b/>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b/>
          <w:szCs w:val="24"/>
          <w:lang w:val="en-GB"/>
        </w:rPr>
        <w:t>ATCVet code:</w:t>
      </w:r>
      <w:r w:rsidRPr="005556C4">
        <w:rPr>
          <w:rFonts w:ascii="Arial" w:hAnsi="Arial" w:cs="Arial"/>
          <w:szCs w:val="24"/>
          <w:lang w:val="en-GB"/>
        </w:rPr>
        <w:t xml:space="preserve"> QI04AE01</w:t>
      </w:r>
    </w:p>
    <w:p w:rsidR="008B26BC" w:rsidRPr="005556C4" w:rsidP="008B26BC">
      <w:pPr>
        <w:tabs>
          <w:tab w:val="left" w:pos="720"/>
        </w:tabs>
        <w:ind w:left="567"/>
        <w:rPr>
          <w:rFonts w:ascii="Arial" w:hAnsi="Arial" w:cs="Arial"/>
          <w:b/>
          <w:szCs w:val="24"/>
          <w:lang w:val="en-GB"/>
        </w:rPr>
      </w:pPr>
      <w:r w:rsidRPr="005556C4">
        <w:rPr>
          <w:rFonts w:ascii="Arial" w:hAnsi="Arial" w:cs="Arial"/>
          <w:szCs w:val="24"/>
          <w:lang w:val="en-GB"/>
        </w:rPr>
        <w:t xml:space="preserve">To stimulate active immunity against </w:t>
      </w:r>
      <w:r w:rsidRPr="005556C4">
        <w:rPr>
          <w:rFonts w:ascii="Arial" w:hAnsi="Arial" w:cs="Arial"/>
          <w:i/>
          <w:szCs w:val="24"/>
          <w:lang w:val="en-GB"/>
        </w:rPr>
        <w:t>Chlamydophila</w:t>
      </w:r>
      <w:r w:rsidRPr="005556C4">
        <w:rPr>
          <w:rFonts w:ascii="Arial" w:hAnsi="Arial" w:cs="Arial"/>
          <w:i/>
          <w:szCs w:val="24"/>
          <w:lang w:val="en-GB"/>
        </w:rPr>
        <w:t xml:space="preserve"> </w:t>
      </w:r>
      <w:r w:rsidRPr="005556C4">
        <w:rPr>
          <w:rFonts w:ascii="Arial" w:hAnsi="Arial" w:cs="Arial"/>
          <w:i/>
          <w:szCs w:val="24"/>
          <w:lang w:val="en-GB"/>
        </w:rPr>
        <w:t>abortus</w:t>
      </w:r>
      <w:r w:rsidRPr="005556C4">
        <w:rPr>
          <w:rFonts w:ascii="Arial" w:hAnsi="Arial" w:cs="Arial"/>
          <w:szCs w:val="24"/>
          <w:lang w:val="en-GB"/>
        </w:rPr>
        <w:t>.</w:t>
      </w:r>
    </w:p>
    <w:p w:rsidR="008B26BC" w:rsidRPr="005556C4" w:rsidP="008B26BC">
      <w:pPr>
        <w:tabs>
          <w:tab w:val="left" w:pos="720"/>
        </w:tabs>
        <w:ind w:left="567"/>
        <w:rPr>
          <w:rFonts w:ascii="Arial" w:hAnsi="Arial" w:cs="Arial"/>
          <w:szCs w:val="24"/>
          <w:lang w:val="en-GB"/>
        </w:rPr>
      </w:pPr>
    </w:p>
    <w:p w:rsidR="008B26BC" w:rsidRPr="005556C4" w:rsidP="008B26BC">
      <w:pPr>
        <w:pStyle w:val="12bold"/>
      </w:pPr>
      <w:r w:rsidRPr="005556C4">
        <w:t>PHARMACEUTICAL PARTICULARS</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rPr>
          <w:rFonts w:ascii="Arial" w:hAnsi="Arial" w:cs="Arial"/>
          <w:b/>
          <w:szCs w:val="24"/>
          <w:lang w:val="en-GB"/>
        </w:rPr>
      </w:pPr>
      <w:r w:rsidRPr="005556C4">
        <w:rPr>
          <w:rFonts w:ascii="Arial" w:hAnsi="Arial" w:cs="Arial"/>
          <w:b/>
          <w:szCs w:val="24"/>
          <w:lang w:val="en-GB"/>
        </w:rPr>
        <w:t>List of excipients</w:t>
      </w:r>
    </w:p>
    <w:p w:rsidR="008B26BC" w:rsidP="008B26BC">
      <w:pPr>
        <w:tabs>
          <w:tab w:val="left" w:pos="720"/>
        </w:tabs>
        <w:ind w:left="567"/>
        <w:rPr>
          <w:rFonts w:ascii="Arial" w:hAnsi="Arial" w:cs="Arial"/>
          <w:szCs w:val="24"/>
          <w:u w:val="single"/>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u w:val="single"/>
          <w:lang w:val="en-GB"/>
        </w:rPr>
        <w:t>Vaccine:</w:t>
      </w:r>
      <w:r w:rsidRPr="005556C4">
        <w:rPr>
          <w:rFonts w:ascii="Arial" w:hAnsi="Arial" w:cs="Arial"/>
          <w:szCs w:val="24"/>
          <w:lang w:val="en-GB"/>
        </w:rPr>
        <w:t xml:space="preserve"> </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Monosodium glutamate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Sucrose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Bovine serum albumin</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Water for Injection.</w:t>
      </w:r>
    </w:p>
    <w:p w:rsidR="008B26BC" w:rsidRPr="005556C4" w:rsidP="008B26BC">
      <w:pPr>
        <w:autoSpaceDE w:val="0"/>
        <w:autoSpaceDN w:val="0"/>
        <w:adjustRightInd w:val="0"/>
        <w:ind w:left="567"/>
        <w:rPr>
          <w:rFonts w:ascii="Arial" w:hAnsi="Arial" w:cs="Arial"/>
          <w:szCs w:val="24"/>
          <w:u w:val="single"/>
          <w:lang w:val="en-GB"/>
        </w:rPr>
      </w:pPr>
      <w:r w:rsidRPr="005556C4">
        <w:rPr>
          <w:rFonts w:ascii="Arial" w:hAnsi="Arial" w:cs="Arial"/>
          <w:szCs w:val="24"/>
          <w:u w:val="single"/>
          <w:lang w:val="en-GB"/>
        </w:rPr>
        <w:t>Solvent (Unisolve):</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Sucrose</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 xml:space="preserve">Potassium </w:t>
      </w:r>
      <w:r w:rsidRPr="005556C4">
        <w:rPr>
          <w:rFonts w:ascii="Arial" w:hAnsi="Arial" w:cs="Arial"/>
          <w:szCs w:val="24"/>
          <w:lang w:val="en-GB"/>
        </w:rPr>
        <w:t>dihydrogen</w:t>
      </w:r>
      <w:r w:rsidRPr="005556C4">
        <w:rPr>
          <w:rFonts w:ascii="Arial" w:hAnsi="Arial" w:cs="Arial"/>
          <w:szCs w:val="24"/>
          <w:lang w:val="en-GB"/>
        </w:rPr>
        <w:t xml:space="preserve"> phosphate</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 xml:space="preserve">Disodium phosphate </w:t>
      </w:r>
      <w:r w:rsidRPr="005556C4">
        <w:rPr>
          <w:rFonts w:ascii="Arial" w:hAnsi="Arial" w:cs="Arial"/>
          <w:szCs w:val="24"/>
          <w:lang w:val="en-GB"/>
        </w:rPr>
        <w:t>dihydrate</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Sodium chloride</w:t>
      </w:r>
    </w:p>
    <w:p w:rsidR="008B26BC" w:rsidRPr="005556C4" w:rsidP="008B26BC">
      <w:pPr>
        <w:autoSpaceDE w:val="0"/>
        <w:autoSpaceDN w:val="0"/>
        <w:adjustRightInd w:val="0"/>
        <w:ind w:left="567"/>
        <w:rPr>
          <w:rFonts w:ascii="Arial" w:hAnsi="Arial" w:cs="Arial"/>
          <w:b/>
          <w:bCs/>
          <w:szCs w:val="24"/>
          <w:lang w:val="en-GB"/>
        </w:rPr>
      </w:pPr>
      <w:r w:rsidRPr="005556C4">
        <w:rPr>
          <w:rFonts w:ascii="Arial" w:hAnsi="Arial" w:cs="Arial"/>
          <w:szCs w:val="24"/>
          <w:lang w:val="en-GB"/>
        </w:rPr>
        <w:t>Water for Injection</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tabs>
          <w:tab w:val="left" w:pos="567"/>
        </w:tabs>
        <w:rPr>
          <w:rFonts w:ascii="Arial" w:hAnsi="Arial" w:cs="Arial"/>
          <w:szCs w:val="24"/>
          <w:lang w:val="en-GB"/>
        </w:rPr>
      </w:pPr>
      <w:r w:rsidRPr="005556C4">
        <w:rPr>
          <w:rFonts w:ascii="Arial" w:hAnsi="Arial" w:cs="Arial"/>
          <w:b/>
          <w:szCs w:val="24"/>
          <w:lang w:val="en-GB"/>
        </w:rPr>
        <w:t>Incompatibilities</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Do not mix with any other veterinary medicinal product except the solvent, Unisolve supplied for use with the product.</w:t>
      </w:r>
    </w:p>
    <w:p w:rsidR="008B26BC" w:rsidP="008B26BC">
      <w:pPr>
        <w:widowControl/>
        <w:rPr>
          <w:rFonts w:ascii="Arial" w:hAnsi="Arial" w:cs="Arial"/>
          <w:b/>
          <w:snapToGrid/>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Shelf life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Shelf life of the veterinary medicinal product as packaged for sale:</w:t>
      </w:r>
    </w:p>
    <w:p w:rsidR="008B26BC" w:rsidRPr="005556C4" w:rsidP="008B26BC">
      <w:pPr>
        <w:pStyle w:val="spc2"/>
        <w:tabs>
          <w:tab w:val="clear" w:pos="567"/>
          <w:tab w:val="left" w:pos="720"/>
        </w:tabs>
        <w:rPr>
          <w:rFonts w:ascii="Arial" w:hAnsi="Arial" w:cs="Arial"/>
          <w:sz w:val="24"/>
          <w:szCs w:val="24"/>
          <w:lang w:val="en-GB"/>
        </w:rPr>
      </w:pPr>
      <w:r w:rsidRPr="005556C4">
        <w:rPr>
          <w:rFonts w:ascii="Arial" w:hAnsi="Arial" w:cs="Arial"/>
          <w:sz w:val="24"/>
          <w:szCs w:val="24"/>
          <w:lang w:val="en-GB"/>
        </w:rPr>
        <w:t>Lyophilisate</w:t>
      </w:r>
      <w:r w:rsidRPr="005556C4">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5556C4">
        <w:rPr>
          <w:rFonts w:ascii="Arial" w:hAnsi="Arial" w:cs="Arial"/>
          <w:sz w:val="24"/>
          <w:szCs w:val="24"/>
          <w:lang w:val="en-GB"/>
        </w:rPr>
        <w:t>1 year.</w:t>
      </w:r>
    </w:p>
    <w:p w:rsidR="008B26BC" w:rsidRPr="005556C4" w:rsidP="008B26BC">
      <w:pPr>
        <w:pStyle w:val="spc2"/>
        <w:tabs>
          <w:tab w:val="clear" w:pos="567"/>
          <w:tab w:val="clear" w:pos="1134"/>
          <w:tab w:val="left" w:pos="1560"/>
          <w:tab w:val="clear" w:pos="1701"/>
        </w:tabs>
        <w:rPr>
          <w:rFonts w:ascii="Arial" w:hAnsi="Arial" w:cs="Arial"/>
          <w:sz w:val="24"/>
          <w:szCs w:val="24"/>
          <w:lang w:val="en-GB"/>
        </w:rPr>
      </w:pPr>
      <w:r w:rsidRPr="005556C4">
        <w:rPr>
          <w:rFonts w:ascii="Arial" w:hAnsi="Arial" w:cs="Arial"/>
          <w:sz w:val="24"/>
          <w:szCs w:val="24"/>
          <w:lang w:val="en-GB"/>
        </w:rPr>
        <w:t>Solvent:</w:t>
      </w:r>
      <w:r>
        <w:rPr>
          <w:rFonts w:ascii="Arial" w:hAnsi="Arial" w:cs="Arial"/>
          <w:sz w:val="24"/>
          <w:szCs w:val="24"/>
          <w:lang w:val="en-GB"/>
        </w:rPr>
        <w:tab/>
      </w:r>
      <w:r w:rsidRPr="005556C4">
        <w:rPr>
          <w:rFonts w:ascii="Arial" w:hAnsi="Arial" w:cs="Arial"/>
          <w:sz w:val="24"/>
          <w:szCs w:val="24"/>
          <w:lang w:val="en-GB"/>
        </w:rPr>
        <w:t>in glass vials:</w:t>
      </w:r>
      <w:r>
        <w:rPr>
          <w:rFonts w:ascii="Arial" w:hAnsi="Arial" w:cs="Arial"/>
          <w:sz w:val="24"/>
          <w:szCs w:val="24"/>
          <w:lang w:val="en-GB"/>
        </w:rPr>
        <w:tab/>
        <w:t xml:space="preserve">  </w:t>
      </w:r>
      <w:r w:rsidRPr="005556C4">
        <w:rPr>
          <w:rFonts w:ascii="Arial" w:hAnsi="Arial" w:cs="Arial"/>
          <w:sz w:val="24"/>
          <w:szCs w:val="24"/>
          <w:lang w:val="en-GB"/>
        </w:rPr>
        <w:t>5 years</w:t>
      </w:r>
    </w:p>
    <w:p w:rsidR="008B26BC" w:rsidRPr="005556C4" w:rsidP="008B26BC">
      <w:pPr>
        <w:pStyle w:val="spc2"/>
        <w:tabs>
          <w:tab w:val="clear" w:pos="567"/>
          <w:tab w:val="clear" w:pos="1134"/>
          <w:tab w:val="left" w:pos="1560"/>
          <w:tab w:val="clear" w:pos="1701"/>
          <w:tab w:val="clear" w:pos="2268"/>
          <w:tab w:val="clear" w:pos="2835"/>
          <w:tab w:val="clear" w:pos="3402"/>
          <w:tab w:val="clear" w:pos="3969"/>
          <w:tab w:val="clear" w:pos="5670"/>
          <w:tab w:val="clear" w:pos="8505"/>
        </w:tabs>
        <w:rPr>
          <w:rFonts w:ascii="Arial" w:hAnsi="Arial" w:cs="Arial"/>
          <w:sz w:val="24"/>
          <w:szCs w:val="24"/>
          <w:lang w:val="en-GB"/>
        </w:rPr>
      </w:pPr>
      <w:r>
        <w:rPr>
          <w:rFonts w:ascii="Arial" w:hAnsi="Arial" w:cs="Arial"/>
          <w:sz w:val="24"/>
          <w:szCs w:val="24"/>
          <w:lang w:val="en-GB"/>
        </w:rPr>
        <w:tab/>
      </w:r>
      <w:r w:rsidRPr="005556C4">
        <w:rPr>
          <w:rFonts w:ascii="Arial" w:hAnsi="Arial" w:cs="Arial"/>
          <w:sz w:val="24"/>
          <w:szCs w:val="24"/>
          <w:lang w:val="en-GB"/>
        </w:rPr>
        <w:t>in</w:t>
      </w:r>
      <w:r w:rsidRPr="005556C4">
        <w:rPr>
          <w:rFonts w:ascii="Arial" w:hAnsi="Arial" w:cs="Arial"/>
          <w:sz w:val="24"/>
          <w:szCs w:val="24"/>
          <w:lang w:val="en-GB"/>
        </w:rPr>
        <w:t xml:space="preserve"> PET vials: </w:t>
      </w:r>
      <w:r w:rsidRPr="005556C4">
        <w:rPr>
          <w:rFonts w:ascii="Arial" w:hAnsi="Arial" w:cs="Arial"/>
          <w:sz w:val="24"/>
          <w:szCs w:val="24"/>
          <w:lang w:val="en-GB"/>
        </w:rPr>
        <w:tab/>
        <w:t>18 months.</w:t>
      </w:r>
    </w:p>
    <w:p w:rsidR="008B26BC" w:rsidRPr="005556C4"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Shelf life after reconstitution according to directions</w:t>
      </w:r>
      <w:r>
        <w:rPr>
          <w:rFonts w:ascii="Arial" w:hAnsi="Arial" w:cs="Arial"/>
          <w:szCs w:val="24"/>
          <w:lang w:val="en-GB"/>
        </w:rPr>
        <w:t xml:space="preserve">: </w:t>
      </w:r>
      <w:r w:rsidRPr="005556C4">
        <w:rPr>
          <w:rFonts w:ascii="Arial" w:hAnsi="Arial" w:cs="Arial"/>
          <w:szCs w:val="24"/>
          <w:lang w:val="en-GB"/>
        </w:rPr>
        <w:t>2 hours</w:t>
      </w:r>
      <w:r>
        <w:rPr>
          <w:rFonts w:ascii="Arial" w:hAnsi="Arial" w:cs="Arial"/>
          <w:szCs w:val="24"/>
          <w:lang w:val="en-GB"/>
        </w:rPr>
        <w:t>.</w:t>
      </w:r>
    </w:p>
    <w:p w:rsidR="008B26BC" w:rsidRPr="005556C4" w:rsidP="008B26BC">
      <w:pPr>
        <w:tabs>
          <w:tab w:val="left" w:pos="720"/>
        </w:tabs>
        <w:ind w:left="567"/>
        <w:rPr>
          <w:rFonts w:ascii="Arial" w:hAnsi="Arial" w:cs="Arial"/>
          <w:b/>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Special precautions for storage</w:t>
      </w:r>
    </w:p>
    <w:p w:rsidR="008B26BC" w:rsidP="008B26BC">
      <w:pPr>
        <w:pStyle w:val="spc2"/>
        <w:tabs>
          <w:tab w:val="clear" w:pos="567"/>
          <w:tab w:val="left" w:pos="720"/>
        </w:tabs>
        <w:rPr>
          <w:rFonts w:ascii="Arial" w:hAnsi="Arial" w:cs="Arial"/>
          <w:sz w:val="24"/>
          <w:szCs w:val="24"/>
          <w:u w:val="single"/>
          <w:lang w:val="en-GB"/>
        </w:rPr>
      </w:pPr>
    </w:p>
    <w:p w:rsidR="008B26BC" w:rsidRPr="005556C4" w:rsidP="008B26BC">
      <w:pPr>
        <w:pStyle w:val="spc2"/>
        <w:tabs>
          <w:tab w:val="clear" w:pos="567"/>
          <w:tab w:val="left" w:pos="720"/>
        </w:tabs>
        <w:rPr>
          <w:rFonts w:ascii="Arial" w:hAnsi="Arial" w:cs="Arial"/>
          <w:sz w:val="24"/>
          <w:szCs w:val="24"/>
          <w:u w:val="single"/>
          <w:lang w:val="en-GB"/>
        </w:rPr>
      </w:pPr>
      <w:r w:rsidRPr="005556C4">
        <w:rPr>
          <w:rFonts w:ascii="Arial" w:hAnsi="Arial" w:cs="Arial"/>
          <w:sz w:val="24"/>
          <w:szCs w:val="24"/>
          <w:u w:val="single"/>
          <w:lang w:val="en-GB"/>
        </w:rPr>
        <w:t>Vaccine:</w:t>
      </w:r>
    </w:p>
    <w:p w:rsidR="008B26BC" w:rsidRPr="005556C4" w:rsidP="008B26BC">
      <w:pPr>
        <w:pStyle w:val="spc2"/>
        <w:tabs>
          <w:tab w:val="clear" w:pos="567"/>
          <w:tab w:val="left" w:pos="720"/>
        </w:tabs>
        <w:rPr>
          <w:rFonts w:ascii="Arial" w:hAnsi="Arial" w:cs="Arial"/>
          <w:sz w:val="24"/>
          <w:szCs w:val="24"/>
          <w:lang w:val="en-GB"/>
        </w:rPr>
      </w:pPr>
      <w:r w:rsidRPr="005556C4">
        <w:rPr>
          <w:rFonts w:ascii="Arial" w:hAnsi="Arial" w:cs="Arial"/>
          <w:sz w:val="24"/>
          <w:szCs w:val="24"/>
          <w:lang w:val="en-GB"/>
        </w:rPr>
        <w:t>Store and transport refrigerated (2</w:t>
      </w:r>
      <w:r w:rsidRPr="005556C4">
        <w:rPr>
          <w:rFonts w:ascii="Symbol" w:hAnsi="Symbol" w:cs="Arial"/>
          <w:sz w:val="24"/>
          <w:szCs w:val="24"/>
          <w:lang w:val="en-GB"/>
        </w:rPr>
        <w:sym w:font="Symbol" w:char="F0B0"/>
      </w:r>
      <w:r w:rsidRPr="005556C4">
        <w:rPr>
          <w:rFonts w:ascii="Arial" w:hAnsi="Arial" w:cs="Arial"/>
          <w:sz w:val="24"/>
          <w:szCs w:val="24"/>
          <w:lang w:val="en-GB"/>
        </w:rPr>
        <w:t>C - 8</w:t>
      </w:r>
      <w:r w:rsidRPr="005556C4">
        <w:rPr>
          <w:rFonts w:ascii="Symbol" w:hAnsi="Symbol" w:cs="Arial"/>
          <w:sz w:val="24"/>
          <w:szCs w:val="24"/>
          <w:lang w:val="en-GB"/>
        </w:rPr>
        <w:sym w:font="Symbol" w:char="F0B0"/>
      </w:r>
      <w:r w:rsidRPr="005556C4">
        <w:rPr>
          <w:rFonts w:ascii="Arial" w:hAnsi="Arial" w:cs="Arial"/>
          <w:sz w:val="24"/>
          <w:szCs w:val="24"/>
          <w:lang w:val="en-GB"/>
        </w:rPr>
        <w:t xml:space="preserve">C). </w:t>
      </w:r>
    </w:p>
    <w:p w:rsidR="008B26BC" w:rsidRPr="005556C4" w:rsidP="008B26BC">
      <w:pPr>
        <w:pStyle w:val="spc2"/>
        <w:tabs>
          <w:tab w:val="clear" w:pos="567"/>
          <w:tab w:val="left" w:pos="720"/>
        </w:tabs>
        <w:rPr>
          <w:rFonts w:ascii="Arial" w:hAnsi="Arial" w:cs="Arial"/>
          <w:sz w:val="24"/>
          <w:szCs w:val="24"/>
          <w:lang w:val="en-GB"/>
        </w:rPr>
      </w:pPr>
      <w:r w:rsidRPr="005556C4">
        <w:rPr>
          <w:rFonts w:ascii="Arial" w:hAnsi="Arial" w:cs="Arial"/>
          <w:sz w:val="24"/>
          <w:szCs w:val="24"/>
          <w:lang w:val="en-GB"/>
        </w:rPr>
        <w:t>Do not freeze.  Protect from light.</w:t>
      </w:r>
    </w:p>
    <w:p w:rsidR="008B26BC" w:rsidRPr="005556C4" w:rsidP="008B26BC">
      <w:pPr>
        <w:autoSpaceDE w:val="0"/>
        <w:autoSpaceDN w:val="0"/>
        <w:adjustRightInd w:val="0"/>
        <w:ind w:left="567"/>
        <w:rPr>
          <w:rFonts w:ascii="Arial" w:hAnsi="Arial" w:cs="Arial"/>
          <w:szCs w:val="24"/>
          <w:u w:val="single"/>
          <w:lang w:val="en-GB"/>
        </w:rPr>
      </w:pPr>
      <w:r w:rsidRPr="005556C4">
        <w:rPr>
          <w:rFonts w:ascii="Arial" w:hAnsi="Arial" w:cs="Arial"/>
          <w:szCs w:val="24"/>
          <w:u w:val="single"/>
          <w:lang w:val="en-GB"/>
        </w:rPr>
        <w:t>Solvent:</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Store below 25 °C (if stored separately).</w:t>
      </w:r>
      <w:r w:rsidRPr="005556C4">
        <w:rPr>
          <w:rFonts w:ascii="Arial" w:hAnsi="Arial" w:cs="Arial"/>
          <w:szCs w:val="24"/>
          <w:lang w:val="en-GB"/>
        </w:rPr>
        <w:t xml:space="preserve"> Do not freeze.</w:t>
      </w:r>
    </w:p>
    <w:p w:rsidR="008B26BC" w:rsidRPr="005556C4" w:rsidP="008B26BC">
      <w:pPr>
        <w:tabs>
          <w:tab w:val="left" w:pos="720"/>
        </w:tabs>
        <w:ind w:left="567"/>
        <w:rPr>
          <w:rFonts w:ascii="Arial" w:hAnsi="Arial" w:cs="Arial"/>
          <w:color w:val="0070C0"/>
          <w:szCs w:val="24"/>
          <w:lang w:val="en-GB"/>
        </w:rPr>
      </w:pPr>
    </w:p>
    <w:p w:rsidR="008B26BC" w:rsidRPr="005556C4" w:rsidP="008B26BC">
      <w:pPr>
        <w:pStyle w:val="ListParagraph"/>
        <w:numPr>
          <w:ilvl w:val="1"/>
          <w:numId w:val="4"/>
        </w:numPr>
        <w:rPr>
          <w:rFonts w:ascii="Arial" w:hAnsi="Arial" w:cs="Arial"/>
          <w:szCs w:val="24"/>
          <w:lang w:val="en-GB"/>
        </w:rPr>
      </w:pPr>
      <w:r w:rsidRPr="005556C4">
        <w:rPr>
          <w:rFonts w:ascii="Arial" w:hAnsi="Arial" w:cs="Arial"/>
          <w:b/>
          <w:szCs w:val="24"/>
          <w:lang w:val="en-GB"/>
        </w:rPr>
        <w:t xml:space="preserve">Nature and </w:t>
      </w:r>
      <w:r w:rsidRPr="005556C4">
        <w:rPr>
          <w:rFonts w:ascii="Arial" w:hAnsi="Arial" w:cs="Arial"/>
          <w:b/>
          <w:bCs/>
          <w:szCs w:val="24"/>
          <w:lang w:val="en-GB"/>
        </w:rPr>
        <w:t>composition of immediate packaging</w:t>
      </w:r>
    </w:p>
    <w:p w:rsidR="008B26BC" w:rsidP="008B26BC">
      <w:pPr>
        <w:autoSpaceDE w:val="0"/>
        <w:autoSpaceDN w:val="0"/>
        <w:adjustRightInd w:val="0"/>
        <w:ind w:left="567"/>
        <w:rPr>
          <w:rFonts w:ascii="Arial" w:hAnsi="Arial" w:cs="Arial"/>
          <w:szCs w:val="24"/>
          <w:lang w:val="en-GB"/>
        </w:rPr>
      </w:pP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 xml:space="preserve">Carton with one vial of </w:t>
      </w:r>
      <w:r w:rsidRPr="005556C4">
        <w:rPr>
          <w:rFonts w:ascii="Arial" w:hAnsi="Arial" w:cs="Arial"/>
          <w:szCs w:val="24"/>
          <w:lang w:val="en-GB"/>
        </w:rPr>
        <w:t>lyophilisate</w:t>
      </w:r>
      <w:r w:rsidRPr="005556C4">
        <w:rPr>
          <w:rFonts w:ascii="Arial" w:hAnsi="Arial" w:cs="Arial"/>
          <w:szCs w:val="24"/>
          <w:lang w:val="en-GB"/>
        </w:rPr>
        <w:t xml:space="preserve"> and one vial of solvent (Unisolve), and a transfer spike.</w:t>
      </w:r>
    </w:p>
    <w:p w:rsidR="008B26BC" w:rsidRPr="005556C4" w:rsidP="008B26BC">
      <w:pPr>
        <w:autoSpaceDE w:val="0"/>
        <w:autoSpaceDN w:val="0"/>
        <w:adjustRightInd w:val="0"/>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u w:val="single"/>
          <w:lang w:val="en-GB"/>
        </w:rPr>
        <w:t>Vaccine</w:t>
      </w:r>
      <w:r w:rsidRPr="005556C4">
        <w:rPr>
          <w:rFonts w:ascii="Arial" w:hAnsi="Arial" w:cs="Arial"/>
          <w:szCs w:val="24"/>
          <w:lang w:val="en-GB"/>
        </w:rPr>
        <w:t xml:space="preserve">: </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Type I (</w:t>
      </w:r>
      <w:r w:rsidRPr="005556C4">
        <w:rPr>
          <w:rFonts w:ascii="Arial" w:hAnsi="Arial" w:cs="Arial"/>
          <w:szCs w:val="24"/>
          <w:lang w:val="en-GB"/>
        </w:rPr>
        <w:t>Ph.Eur</w:t>
      </w:r>
      <w:r w:rsidRPr="005556C4">
        <w:rPr>
          <w:rFonts w:ascii="Arial" w:hAnsi="Arial" w:cs="Arial"/>
          <w:szCs w:val="24"/>
          <w:lang w:val="en-GB"/>
        </w:rPr>
        <w:t>.) glass vial, closed with a rubber stopper and sealed with a colour coded aluminium cap, containing a freeze dried plug of vaccine (10, 20, 50 or 100 doses) for use with the appropriate volume of solvent.</w:t>
      </w:r>
    </w:p>
    <w:p w:rsidR="008B26BC" w:rsidRPr="005556C4" w:rsidP="008B26BC">
      <w:pPr>
        <w:autoSpaceDE w:val="0"/>
        <w:autoSpaceDN w:val="0"/>
        <w:adjustRightInd w:val="0"/>
        <w:ind w:left="567"/>
        <w:rPr>
          <w:rFonts w:ascii="Arial" w:hAnsi="Arial" w:cs="Arial"/>
          <w:szCs w:val="24"/>
          <w:u w:val="single"/>
          <w:lang w:val="en-GB"/>
        </w:rPr>
      </w:pPr>
      <w:r w:rsidRPr="005556C4">
        <w:rPr>
          <w:rFonts w:ascii="Arial" w:hAnsi="Arial" w:cs="Arial"/>
          <w:szCs w:val="24"/>
          <w:u w:val="single"/>
          <w:lang w:val="en-GB"/>
        </w:rPr>
        <w:t>Solvent (Unisolve):</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 xml:space="preserve">Type II glass vials (Ph. </w:t>
      </w:r>
      <w:r w:rsidRPr="005556C4">
        <w:rPr>
          <w:rFonts w:ascii="Arial" w:hAnsi="Arial" w:cs="Arial"/>
          <w:szCs w:val="24"/>
          <w:lang w:val="en-GB"/>
        </w:rPr>
        <w:t>Eur</w:t>
      </w:r>
      <w:r w:rsidRPr="005556C4">
        <w:rPr>
          <w:rFonts w:ascii="Arial" w:hAnsi="Arial" w:cs="Arial"/>
          <w:szCs w:val="24"/>
          <w:lang w:val="en-GB"/>
        </w:rPr>
        <w:t xml:space="preserve">) containing 2, 3, 4, 7, 10, 13, 20, 25, 40, 50, 100 , 200 or 400 ml closed with a halogenated </w:t>
      </w:r>
      <w:r w:rsidRPr="005556C4">
        <w:rPr>
          <w:rFonts w:ascii="Arial" w:hAnsi="Arial" w:cs="Arial"/>
          <w:szCs w:val="24"/>
          <w:lang w:val="en-GB"/>
        </w:rPr>
        <w:t>butylrubber</w:t>
      </w:r>
      <w:r w:rsidRPr="005556C4">
        <w:rPr>
          <w:rFonts w:ascii="Arial" w:hAnsi="Arial" w:cs="Arial"/>
          <w:szCs w:val="24"/>
          <w:lang w:val="en-GB"/>
        </w:rPr>
        <w:t xml:space="preserve"> stopper and an aluminium crimp cap.</w:t>
      </w:r>
    </w:p>
    <w:p w:rsidR="008B26BC" w:rsidRPr="005556C4" w:rsidP="008B26BC">
      <w:pPr>
        <w:autoSpaceDE w:val="0"/>
        <w:autoSpaceDN w:val="0"/>
        <w:adjustRightInd w:val="0"/>
        <w:ind w:left="567"/>
        <w:rPr>
          <w:rFonts w:ascii="Arial" w:hAnsi="Arial" w:cs="Arial"/>
          <w:szCs w:val="24"/>
          <w:lang w:val="en-GB"/>
        </w:rPr>
      </w:pPr>
      <w:r w:rsidRPr="005556C4">
        <w:rPr>
          <w:rFonts w:ascii="Arial" w:hAnsi="Arial" w:cs="Arial"/>
          <w:szCs w:val="24"/>
          <w:lang w:val="en-GB"/>
        </w:rPr>
        <w:t xml:space="preserve">Polyethylene terephthalate (PET) vials containing 40 or 100 ml closed with a halogenated </w:t>
      </w:r>
      <w:r w:rsidRPr="005556C4">
        <w:rPr>
          <w:rFonts w:ascii="Arial" w:hAnsi="Arial" w:cs="Arial"/>
          <w:szCs w:val="24"/>
          <w:lang w:val="en-GB"/>
        </w:rPr>
        <w:t>butylrubber</w:t>
      </w:r>
      <w:r w:rsidRPr="005556C4">
        <w:rPr>
          <w:rFonts w:ascii="Arial" w:hAnsi="Arial" w:cs="Arial"/>
          <w:szCs w:val="24"/>
          <w:lang w:val="en-GB"/>
        </w:rPr>
        <w:t xml:space="preserve"> stopper and an aluminium crimp cap.</w:t>
      </w:r>
    </w:p>
    <w:p w:rsidR="008B26BC" w:rsidRPr="005556C4" w:rsidP="008B26BC">
      <w:pPr>
        <w:autoSpaceDE w:val="0"/>
        <w:autoSpaceDN w:val="0"/>
        <w:adjustRightInd w:val="0"/>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Not all pack sizes may be marketed.</w:t>
      </w:r>
    </w:p>
    <w:p w:rsidR="008B26BC" w:rsidRPr="005556C4" w:rsidP="008B26BC">
      <w:pPr>
        <w:tabs>
          <w:tab w:val="left" w:pos="720"/>
        </w:tabs>
        <w:ind w:left="567"/>
        <w:rPr>
          <w:rFonts w:ascii="Arial" w:hAnsi="Arial" w:cs="Arial"/>
          <w:szCs w:val="24"/>
          <w:lang w:val="en-GB"/>
        </w:rPr>
      </w:pPr>
    </w:p>
    <w:p w:rsidR="008B26BC" w:rsidRPr="005556C4" w:rsidP="008B26BC">
      <w:pPr>
        <w:pStyle w:val="ListParagraph"/>
        <w:numPr>
          <w:ilvl w:val="1"/>
          <w:numId w:val="4"/>
        </w:numPr>
        <w:tabs>
          <w:tab w:val="left" w:pos="567"/>
        </w:tabs>
        <w:rPr>
          <w:rFonts w:ascii="Arial" w:hAnsi="Arial" w:cs="Arial"/>
          <w:szCs w:val="24"/>
          <w:lang w:val="en-GB"/>
        </w:rPr>
      </w:pPr>
      <w:r w:rsidRPr="005556C4">
        <w:rPr>
          <w:rFonts w:ascii="Arial" w:hAnsi="Arial" w:cs="Arial"/>
          <w:b/>
          <w:szCs w:val="24"/>
          <w:lang w:val="en-GB"/>
        </w:rPr>
        <w:t>Special precautions for the disposal of unused veterinary medicinal product or waste materials derived from the use of such products</w:t>
      </w:r>
    </w:p>
    <w:p w:rsidR="008B26BC" w:rsidP="008B26BC">
      <w:pPr>
        <w:tabs>
          <w:tab w:val="left" w:pos="720"/>
        </w:tabs>
        <w:autoSpaceDE w:val="0"/>
        <w:autoSpaceDN w:val="0"/>
        <w:adjustRightInd w:val="0"/>
        <w:ind w:left="567"/>
        <w:rPr>
          <w:rFonts w:ascii="Arial" w:hAnsi="Arial" w:cs="Arial"/>
          <w:szCs w:val="24"/>
          <w:lang w:val="en-GB"/>
        </w:rPr>
      </w:pPr>
    </w:p>
    <w:p w:rsidR="008B26BC" w:rsidRPr="005556C4" w:rsidP="008B26BC">
      <w:pPr>
        <w:tabs>
          <w:tab w:val="left" w:pos="720"/>
        </w:tabs>
        <w:autoSpaceDE w:val="0"/>
        <w:autoSpaceDN w:val="0"/>
        <w:adjustRightInd w:val="0"/>
        <w:ind w:left="567"/>
        <w:rPr>
          <w:rFonts w:ascii="Arial" w:hAnsi="Arial" w:cs="Arial"/>
          <w:szCs w:val="24"/>
          <w:lang w:val="en-GB"/>
        </w:rPr>
      </w:pPr>
      <w:r w:rsidRPr="005556C4">
        <w:rPr>
          <w:rFonts w:ascii="Arial" w:hAnsi="Arial" w:cs="Arial"/>
          <w:szCs w:val="24"/>
          <w:lang w:val="en-GB"/>
        </w:rPr>
        <w:t>Dispose of waste material by boiling, incineration or immersion in an appropriate disinfectant approved for use by the competent authorities</w:t>
      </w:r>
    </w:p>
    <w:p w:rsidR="008B26BC" w:rsidRPr="005556C4" w:rsidP="008B26BC">
      <w:pPr>
        <w:tabs>
          <w:tab w:val="left" w:pos="720"/>
        </w:tabs>
        <w:ind w:left="567"/>
        <w:rPr>
          <w:rFonts w:ascii="Arial" w:hAnsi="Arial" w:cs="Arial"/>
          <w:b/>
          <w:szCs w:val="24"/>
          <w:lang w:val="en-GB"/>
        </w:rPr>
      </w:pPr>
    </w:p>
    <w:p w:rsidR="008B26BC" w:rsidP="008B26BC">
      <w:pPr>
        <w:widowControl/>
        <w:rPr>
          <w:rFonts w:ascii="Arial" w:hAnsi="Arial" w:cs="Arial"/>
          <w:b/>
          <w:snapToGrid/>
          <w:szCs w:val="24"/>
          <w:lang w:val="en-GB"/>
        </w:rPr>
      </w:pPr>
      <w:r>
        <w:br w:type="page"/>
      </w:r>
    </w:p>
    <w:p w:rsidR="008B26BC" w:rsidRPr="005556C4" w:rsidP="008B26BC">
      <w:pPr>
        <w:pStyle w:val="12bold"/>
      </w:pPr>
      <w:r w:rsidRPr="005556C4">
        <w:t>MARKETING AUTHORISATION HOLDER</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Intervet UK Ltd.</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Walton Manor</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Walton</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Milton Keynes</w:t>
      </w:r>
    </w:p>
    <w:p w:rsidR="008B26BC" w:rsidP="008B26BC">
      <w:pPr>
        <w:tabs>
          <w:tab w:val="left" w:pos="720"/>
        </w:tabs>
        <w:ind w:left="567"/>
        <w:rPr>
          <w:rFonts w:ascii="Arial" w:hAnsi="Arial" w:cs="Arial"/>
          <w:szCs w:val="24"/>
          <w:lang w:val="en-GB"/>
        </w:rPr>
      </w:pPr>
      <w:r>
        <w:rPr>
          <w:rFonts w:ascii="Arial" w:hAnsi="Arial" w:cs="Arial"/>
        </w:rPr>
        <w:t>Buckinghamshire</w:t>
      </w:r>
    </w:p>
    <w:p w:rsidR="008B26BC" w:rsidRPr="005556C4" w:rsidP="008B26BC">
      <w:pPr>
        <w:tabs>
          <w:tab w:val="left" w:pos="720"/>
        </w:tabs>
        <w:ind w:left="567"/>
        <w:rPr>
          <w:rFonts w:ascii="Arial" w:hAnsi="Arial" w:cs="Arial"/>
          <w:szCs w:val="24"/>
          <w:lang w:val="en-GB"/>
        </w:rPr>
      </w:pPr>
      <w:r w:rsidRPr="005556C4">
        <w:rPr>
          <w:rFonts w:ascii="Arial" w:hAnsi="Arial" w:cs="Arial"/>
          <w:szCs w:val="24"/>
          <w:lang w:val="en-GB"/>
        </w:rPr>
        <w:t>MK7 7AJ</w:t>
      </w:r>
    </w:p>
    <w:p w:rsidR="008B26BC" w:rsidP="008B26BC">
      <w:pPr>
        <w:widowControl/>
        <w:rPr>
          <w:rFonts w:ascii="Arial" w:hAnsi="Arial" w:cs="Arial"/>
          <w:b/>
          <w:snapToGrid/>
          <w:szCs w:val="24"/>
          <w:lang w:val="en-GB"/>
        </w:rPr>
      </w:pPr>
    </w:p>
    <w:p w:rsidR="008B26BC" w:rsidRPr="005556C4" w:rsidP="008B26BC">
      <w:pPr>
        <w:pStyle w:val="12bold"/>
      </w:pPr>
      <w:r w:rsidRPr="005556C4">
        <w:t>MARKETING AUTHORISATION NUMBER</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i/>
          <w:iCs/>
          <w:szCs w:val="24"/>
          <w:lang w:val="en-GB"/>
        </w:rPr>
      </w:pPr>
      <w:r w:rsidRPr="005556C4">
        <w:rPr>
          <w:rFonts w:ascii="Arial" w:hAnsi="Arial" w:cs="Arial"/>
          <w:b/>
          <w:sz w:val="30"/>
          <w:szCs w:val="30"/>
          <w:lang w:val="en-GB"/>
        </w:rPr>
        <w:t>Vm:</w:t>
      </w:r>
      <w:r w:rsidRPr="005556C4">
        <w:rPr>
          <w:rFonts w:ascii="Arial" w:hAnsi="Arial" w:cs="Arial"/>
          <w:szCs w:val="24"/>
          <w:lang w:val="en-GB"/>
        </w:rPr>
        <w:t xml:space="preserve"> 01708/4523</w:t>
      </w:r>
    </w:p>
    <w:p w:rsidR="008B26BC" w:rsidRPr="005556C4" w:rsidP="008B26BC">
      <w:pPr>
        <w:tabs>
          <w:tab w:val="left" w:pos="720"/>
        </w:tabs>
        <w:ind w:left="567"/>
        <w:rPr>
          <w:rFonts w:ascii="Arial" w:hAnsi="Arial" w:cs="Arial"/>
          <w:i/>
          <w:iCs/>
          <w:szCs w:val="24"/>
          <w:lang w:val="en-GB"/>
        </w:rPr>
      </w:pPr>
    </w:p>
    <w:p w:rsidR="008B26BC" w:rsidRPr="005556C4" w:rsidP="008B26BC">
      <w:pPr>
        <w:pStyle w:val="12bold"/>
      </w:pPr>
      <w:r w:rsidRPr="005556C4">
        <w:t>DATE OF FIRST AUTHORISATION</w:t>
      </w:r>
    </w:p>
    <w:p w:rsidR="008B26BC" w:rsidP="008B26BC">
      <w:pPr>
        <w:tabs>
          <w:tab w:val="left" w:pos="720"/>
        </w:tabs>
        <w:ind w:left="567"/>
        <w:rPr>
          <w:rFonts w:ascii="Arial" w:hAnsi="Arial" w:cs="Arial"/>
          <w:szCs w:val="24"/>
          <w:lang w:val="en-GB"/>
        </w:rPr>
      </w:pPr>
    </w:p>
    <w:p w:rsidR="008B26BC" w:rsidRPr="005556C4" w:rsidP="008B26BC">
      <w:pPr>
        <w:tabs>
          <w:tab w:val="left" w:pos="720"/>
        </w:tabs>
        <w:ind w:left="567"/>
        <w:rPr>
          <w:rFonts w:ascii="Arial" w:hAnsi="Arial" w:cs="Arial"/>
          <w:szCs w:val="24"/>
          <w:lang w:val="en-GB"/>
        </w:rPr>
      </w:pPr>
      <w:r>
        <w:rPr>
          <w:rFonts w:ascii="Arial" w:hAnsi="Arial" w:cs="Arial"/>
          <w:b/>
          <w:szCs w:val="24"/>
          <w:lang w:val="en-GB"/>
        </w:rPr>
        <w:t>Date:</w:t>
      </w:r>
      <w:r>
        <w:rPr>
          <w:rFonts w:ascii="Arial" w:hAnsi="Arial" w:cs="Arial"/>
          <w:szCs w:val="24"/>
          <w:lang w:val="en-GB"/>
        </w:rPr>
        <w:t xml:space="preserve"> 26 April 1996</w:t>
      </w:r>
    </w:p>
    <w:p w:rsidR="008B26BC" w:rsidRPr="005556C4" w:rsidP="008B26BC">
      <w:pPr>
        <w:tabs>
          <w:tab w:val="left" w:pos="720"/>
        </w:tabs>
        <w:ind w:left="567"/>
        <w:rPr>
          <w:rFonts w:ascii="Arial" w:hAnsi="Arial" w:cs="Arial"/>
          <w:szCs w:val="24"/>
          <w:lang w:val="en-GB"/>
        </w:rPr>
      </w:pPr>
    </w:p>
    <w:p w:rsidR="008B26BC" w:rsidRPr="005556C4" w:rsidP="008B26BC">
      <w:pPr>
        <w:pStyle w:val="12bold"/>
      </w:pPr>
      <w:r w:rsidRPr="005556C4">
        <w:t>DATE OF REVISION OF THE TEXT</w:t>
      </w:r>
    </w:p>
    <w:p w:rsidR="008B26BC" w:rsidP="008B26BC">
      <w:pPr>
        <w:tabs>
          <w:tab w:val="left" w:pos="720"/>
        </w:tabs>
        <w:ind w:left="567"/>
        <w:rPr>
          <w:rFonts w:ascii="Arial" w:hAnsi="Arial" w:cs="Arial"/>
          <w:szCs w:val="24"/>
          <w:lang w:val="en-GB"/>
        </w:rPr>
      </w:pPr>
    </w:p>
    <w:p w:rsidR="00B4686B" w:rsidP="008B26BC">
      <w:pPr>
        <w:tabs>
          <w:tab w:val="left" w:pos="720"/>
        </w:tabs>
        <w:ind w:left="567"/>
        <w:rPr>
          <w:rFonts w:ascii="Arial" w:hAnsi="Arial" w:cs="Arial"/>
          <w:szCs w:val="24"/>
          <w:lang w:val="en-GB"/>
        </w:rPr>
      </w:pPr>
      <w:r>
        <w:rPr>
          <w:rFonts w:ascii="Arial" w:hAnsi="Arial" w:cs="Arial"/>
          <w:b/>
          <w:szCs w:val="24"/>
          <w:lang w:val="en-GB"/>
        </w:rPr>
        <w:t>Date:</w:t>
      </w:r>
      <w:r>
        <w:rPr>
          <w:rFonts w:ascii="Arial" w:hAnsi="Arial" w:cs="Arial"/>
          <w:szCs w:val="24"/>
          <w:lang w:val="en-GB"/>
        </w:rPr>
        <w:t xml:space="preserve"> </w:t>
      </w:r>
      <w:r w:rsidR="005A1E19">
        <w:rPr>
          <w:rFonts w:ascii="Arial" w:hAnsi="Arial" w:cs="Arial"/>
          <w:szCs w:val="24"/>
          <w:lang w:val="en-GB"/>
        </w:rPr>
        <w:t>April 2015</w:t>
      </w:r>
    </w:p>
    <w:p w:rsidR="006F3D59" w:rsidP="008B26BC">
      <w:pPr>
        <w:tabs>
          <w:tab w:val="left" w:pos="720"/>
        </w:tabs>
        <w:ind w:left="567"/>
        <w:rPr>
          <w:rFonts w:ascii="Arial" w:hAnsi="Arial" w:cs="Arial"/>
          <w:szCs w:val="24"/>
          <w:lang w:val="en-GB"/>
        </w:rPr>
      </w:pPr>
    </w:p>
    <w:p w:rsidR="006F3D59" w:rsidP="008B26BC">
      <w:pPr>
        <w:tabs>
          <w:tab w:val="left" w:pos="720"/>
        </w:tabs>
        <w:ind w:left="567"/>
        <w:rPr>
          <w:rFonts w:ascii="Arial" w:hAnsi="Arial" w:cs="Arial"/>
          <w:szCs w:val="24"/>
          <w:lang w:val="en-GB"/>
        </w:rPr>
      </w:pPr>
    </w:p>
    <w:p w:rsidR="006F3D59" w:rsidP="008B26BC">
      <w:pPr>
        <w:tabs>
          <w:tab w:val="left" w:pos="720"/>
        </w:tabs>
        <w:ind w:left="567"/>
        <w:rPr>
          <w:rFonts w:ascii="Arial" w:hAnsi="Arial" w:cs="Arial"/>
          <w:szCs w:val="24"/>
          <w:lang w:val="en-GB"/>
        </w:rPr>
      </w:pPr>
      <w:bookmarkStart w:id="0" w:name="_GoBack"/>
      <w:bookmarkEnd w:id="0"/>
      <w:r w:rsidRPr="00A00B64">
        <w:rPr>
          <w:rFonts w:ascii="Arial" w:hAnsi="Arial" w:cs="Arial"/>
          <w:noProof/>
          <w:szCs w:val="24"/>
          <w:lang w:val="en-GB" w:eastAsia="en-GB"/>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116205</wp:posOffset>
            </wp:positionV>
            <wp:extent cx="800100" cy="509270"/>
            <wp:effectExtent l="0" t="0" r="0" b="5080"/>
            <wp:wrapNone/>
            <wp:docPr id="1" name="Picture 1" descr="T:\Signatures (VRC only, do not save any other)\Iacurti - Fla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899373" name="Picture 1" descr="T:\Signatures (VRC only, do not save any other)\Iacurti - Flavia.jpg"/>
                    <pic:cNvPicPr>
                      <a:picLocks noChangeAspect="1" noChangeArrowheads="1"/>
                    </pic:cNvPicPr>
                  </pic:nvPicPr>
                  <pic:blipFill>
                    <a:blip xmlns:r="http://schemas.openxmlformats.org/officeDocument/2006/relationships" r:embed="rId4" cstate="print"/>
                    <a:stretch>
                      <a:fillRect/>
                    </a:stretch>
                  </pic:blipFill>
                  <pic:spPr bwMode="auto">
                    <a:xfrm>
                      <a:off x="0" y="0"/>
                      <a:ext cx="800100" cy="509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0B64" w:rsidP="008B26BC">
      <w:pPr>
        <w:tabs>
          <w:tab w:val="left" w:pos="720"/>
        </w:tabs>
        <w:ind w:left="567"/>
        <w:rPr>
          <w:rFonts w:ascii="Arial" w:hAnsi="Arial" w:cs="Arial"/>
          <w:szCs w:val="24"/>
          <w:lang w:val="en-GB"/>
        </w:rPr>
      </w:pPr>
    </w:p>
    <w:p w:rsidR="00A00B64" w:rsidP="008B26BC">
      <w:pPr>
        <w:tabs>
          <w:tab w:val="left" w:pos="720"/>
        </w:tabs>
        <w:ind w:left="567"/>
        <w:rPr>
          <w:rFonts w:ascii="Arial" w:hAnsi="Arial" w:cs="Arial"/>
          <w:szCs w:val="24"/>
          <w:lang w:val="en-GB"/>
        </w:rPr>
      </w:pPr>
    </w:p>
    <w:p w:rsidR="00A00B64" w:rsidP="008B26BC">
      <w:pPr>
        <w:tabs>
          <w:tab w:val="left" w:pos="720"/>
        </w:tabs>
        <w:ind w:left="567"/>
        <w:rPr>
          <w:rFonts w:ascii="Arial" w:hAnsi="Arial" w:cs="Arial"/>
          <w:szCs w:val="24"/>
          <w:lang w:val="en-GB"/>
        </w:rPr>
      </w:pPr>
    </w:p>
    <w:p w:rsidR="00A00B64" w:rsidRPr="008B26BC" w:rsidP="00A00B64">
      <w:pPr>
        <w:tabs>
          <w:tab w:val="left" w:pos="720"/>
        </w:tabs>
        <w:ind w:left="567"/>
        <w:jc w:val="right"/>
        <w:rPr>
          <w:rFonts w:ascii="Arial" w:hAnsi="Arial" w:cs="Arial"/>
          <w:szCs w:val="24"/>
          <w:lang w:val="en-GB"/>
        </w:rPr>
      </w:pPr>
      <w:r>
        <w:rPr>
          <w:rFonts w:ascii="Arial" w:hAnsi="Arial" w:cs="Arial"/>
          <w:szCs w:val="24"/>
          <w:lang w:val="en-GB"/>
        </w:rPr>
        <w:t>Approved: 27 April 2015</w:t>
      </w:r>
    </w:p>
    <w:sectPr>
      <w:headerReference w:type="default" r:id="rId5"/>
      <w:footerReference w:type="default" r:id="rId6"/>
      <w:footerReference w:type="first" r:id="rId7"/>
      <w:footnotePr>
        <w:numFmt w:val="chicago"/>
      </w:footnotePr>
      <w:endnotePr>
        <w:numFmt w:val="decimal"/>
      </w:endnotePr>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4AF">
    <w:pPr>
      <w:pStyle w:val="Footer"/>
      <w:jc w:val="center"/>
    </w:pPr>
    <w:r w:rsidRPr="003544AF">
      <w:rPr>
        <w:rFonts w:ascii="Arial" w:hAnsi="Arial" w:cs="Arial"/>
        <w:sz w:val="20"/>
      </w:rPr>
      <w:t xml:space="preserve">Page </w:t>
    </w:r>
    <w:r w:rsidRPr="003544AF">
      <w:rPr>
        <w:rFonts w:ascii="Arial" w:hAnsi="Arial" w:cs="Arial"/>
        <w:sz w:val="20"/>
      </w:rPr>
      <w:fldChar w:fldCharType="begin"/>
    </w:r>
    <w:r w:rsidRPr="003544AF">
      <w:rPr>
        <w:rFonts w:ascii="Arial" w:hAnsi="Arial" w:cs="Arial"/>
        <w:sz w:val="20"/>
      </w:rPr>
      <w:instrText xml:space="preserve"> PAGE </w:instrText>
    </w:r>
    <w:r w:rsidRPr="003544AF">
      <w:rPr>
        <w:rFonts w:ascii="Arial" w:hAnsi="Arial" w:cs="Arial"/>
        <w:sz w:val="20"/>
      </w:rPr>
      <w:fldChar w:fldCharType="separate"/>
    </w:r>
    <w:r w:rsidR="00A00B64">
      <w:rPr>
        <w:rFonts w:ascii="Arial" w:hAnsi="Arial" w:cs="Arial"/>
        <w:noProof/>
        <w:sz w:val="20"/>
      </w:rPr>
      <w:t>5</w:t>
    </w:r>
    <w:r w:rsidRPr="003544AF">
      <w:rPr>
        <w:rFonts w:ascii="Arial" w:hAnsi="Arial" w:cs="Arial"/>
        <w:sz w:val="20"/>
      </w:rPr>
      <w:fldChar w:fldCharType="end"/>
    </w:r>
    <w:r w:rsidRPr="003544AF">
      <w:rPr>
        <w:rFonts w:ascii="Arial" w:hAnsi="Arial" w:cs="Arial"/>
        <w:sz w:val="20"/>
      </w:rPr>
      <w:t xml:space="preserve"> of </w:t>
    </w:r>
    <w:r w:rsidRPr="003544AF">
      <w:rPr>
        <w:rFonts w:ascii="Arial" w:hAnsi="Arial" w:cs="Arial"/>
        <w:sz w:val="20"/>
      </w:rPr>
      <w:fldChar w:fldCharType="begin"/>
    </w:r>
    <w:r w:rsidRPr="003544AF">
      <w:rPr>
        <w:rFonts w:ascii="Arial" w:hAnsi="Arial" w:cs="Arial"/>
        <w:sz w:val="20"/>
      </w:rPr>
      <w:instrText xml:space="preserve"> NUMPAGES  </w:instrText>
    </w:r>
    <w:r w:rsidRPr="003544AF">
      <w:rPr>
        <w:rFonts w:ascii="Arial" w:hAnsi="Arial" w:cs="Arial"/>
        <w:sz w:val="20"/>
      </w:rPr>
      <w:fldChar w:fldCharType="separate"/>
    </w:r>
    <w:r w:rsidR="00A00B64">
      <w:rPr>
        <w:rFonts w:ascii="Arial" w:hAnsi="Arial" w:cs="Arial"/>
        <w:noProof/>
        <w:sz w:val="20"/>
      </w:rPr>
      <w:t>6</w:t>
    </w:r>
    <w:r w:rsidRPr="003544AF">
      <w:rPr>
        <w:rFonts w:ascii="Arial" w:hAnsi="Arial" w:cs="Arial"/>
        <w:sz w:val="20"/>
      </w:rPr>
      <w:fldChar w:fldCharType="end"/>
    </w:r>
  </w:p>
  <w:p w:rsidR="00456862">
    <w:pPr>
      <w:tabs>
        <w:tab w:val="right" w:pos="9026"/>
      </w:tabs>
      <w:jc w:val="both"/>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862">
    <w:pPr>
      <w:pStyle w:val="Footer"/>
      <w:rPr>
        <w:sz w:val="20"/>
      </w:rPr>
    </w:pPr>
  </w:p>
  <w:p w:rsidR="00456862">
    <w:pPr>
      <w:pStyle w:val="Footer"/>
      <w:jc w:val="right"/>
      <w:rPr>
        <w:sz w:val="20"/>
      </w:rPr>
    </w:pPr>
    <w:r>
      <w:rPr>
        <w:sz w:val="20"/>
      </w:rPr>
      <w:t xml:space="preserve">Date of printing: </w:t>
    </w:r>
    <w:r>
      <w:rPr>
        <w:sz w:val="20"/>
      </w:rPr>
      <w:fldChar w:fldCharType="begin"/>
    </w:r>
    <w:r>
      <w:rPr>
        <w:sz w:val="20"/>
      </w:rPr>
      <w:instrText xml:space="preserve"> PRINTDATE \@ "d MMMM yyyy" \* MERGEFORMAT </w:instrText>
    </w:r>
    <w:r>
      <w:rPr>
        <w:sz w:val="20"/>
      </w:rPr>
      <w:fldChar w:fldCharType="separate"/>
    </w:r>
    <w:r w:rsidR="00C70968">
      <w:rPr>
        <w:noProof/>
        <w:sz w:val="20"/>
      </w:rPr>
      <w:t>10 March 2011</w:t>
    </w:r>
    <w:r>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E19" w:rsidP="008B26BC">
    <w:pPr>
      <w:pStyle w:val="Header"/>
      <w:jc w:val="right"/>
      <w:rPr>
        <w:rFonts w:ascii="Arial" w:hAnsi="Arial" w:cs="Arial"/>
        <w:sz w:val="20"/>
      </w:rPr>
    </w:pPr>
    <w:r w:rsidRPr="005A1E19">
      <w:rPr>
        <w:rFonts w:ascii="Arial" w:hAnsi="Arial" w:cs="Arial"/>
        <w:sz w:val="20"/>
      </w:rPr>
      <w:t xml:space="preserve">Revised: </w:t>
    </w:r>
    <w:r>
      <w:rPr>
        <w:rFonts w:ascii="Arial" w:hAnsi="Arial" w:cs="Arial"/>
        <w:sz w:val="20"/>
      </w:rPr>
      <w:t>April 2015</w:t>
    </w:r>
  </w:p>
  <w:p w:rsidR="005A1E19" w:rsidP="008B26BC">
    <w:pPr>
      <w:pStyle w:val="Header"/>
      <w:jc w:val="right"/>
      <w:rPr>
        <w:rFonts w:ascii="Arial" w:hAnsi="Arial" w:cs="Arial"/>
        <w:sz w:val="20"/>
      </w:rPr>
    </w:pPr>
    <w:r>
      <w:rPr>
        <w:rFonts w:ascii="Arial" w:hAnsi="Arial" w:cs="Arial"/>
        <w:sz w:val="20"/>
      </w:rPr>
      <w:t>Minor amendment to product name</w:t>
    </w:r>
  </w:p>
  <w:p w:rsidR="003544AF" w:rsidRPr="008B26BC" w:rsidP="008B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6225FD"/>
    <w:multiLevelType w:val="hybridMultilevel"/>
    <w:tmpl w:val="356251EA"/>
    <w:lvl w:ilvl="0">
      <w:start w:val="1"/>
      <w:numFmt w:val="decimal"/>
      <w:lvlText w:val="%1."/>
      <w:lvlJc w:val="left"/>
      <w:pPr>
        <w:ind w:left="1146"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A87A65"/>
    <w:multiLevelType w:val="hybridMultilevel"/>
    <w:tmpl w:val="19AE89D0"/>
    <w:lvl w:ilvl="0">
      <w:start w:val="1"/>
      <w:numFmt w:val="lowerRoman"/>
      <w:lvlText w:val="%1)"/>
      <w:lvlJc w:val="left"/>
      <w:pPr>
        <w:tabs>
          <w:tab w:val="num" w:pos="1701"/>
        </w:tabs>
        <w:ind w:left="1701" w:hanging="1134"/>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52B3639E"/>
    <w:multiLevelType w:val="multilevel"/>
    <w:tmpl w:val="E184322C"/>
    <w:lvl w:ilvl="0">
      <w:start w:val="1"/>
      <w:numFmt w:val="decimal"/>
      <w:pStyle w:val="12bold"/>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317690D"/>
    <w:multiLevelType w:val="hybridMultilevel"/>
    <w:tmpl w:val="F086D082"/>
    <w:lvl w:ilvl="0">
      <w:start w:val="1"/>
      <w:numFmt w:val="lowerRoman"/>
      <w:lvlText w:val="%1."/>
      <w:lvlJc w:val="left"/>
      <w:pPr>
        <w:ind w:left="1230" w:hanging="72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
    <w:nsid w:val="602D6D13"/>
    <w:multiLevelType w:val="hybridMultilevel"/>
    <w:tmpl w:val="065EA138"/>
    <w:lvl w:ilvl="0">
      <w:start w:val="1"/>
      <w:numFmt w:val="lowerRoman"/>
      <w:lvlText w:val="%1)"/>
      <w:lvlJc w:val="left"/>
      <w:pPr>
        <w:ind w:left="1233" w:hanging="72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62"/>
    <w:rsid w:val="003544AF"/>
    <w:rsid w:val="004134E0"/>
    <w:rsid w:val="00437F26"/>
    <w:rsid w:val="00456862"/>
    <w:rsid w:val="004F2726"/>
    <w:rsid w:val="005556C4"/>
    <w:rsid w:val="005A1E19"/>
    <w:rsid w:val="005B7C06"/>
    <w:rsid w:val="005E2207"/>
    <w:rsid w:val="00622BC6"/>
    <w:rsid w:val="006370C6"/>
    <w:rsid w:val="00652C08"/>
    <w:rsid w:val="006A1AA8"/>
    <w:rsid w:val="006B329F"/>
    <w:rsid w:val="006F3D59"/>
    <w:rsid w:val="008B26BC"/>
    <w:rsid w:val="00952F28"/>
    <w:rsid w:val="009A04D2"/>
    <w:rsid w:val="00A00B64"/>
    <w:rsid w:val="00B4686B"/>
    <w:rsid w:val="00C32F4E"/>
    <w:rsid w:val="00C47EB7"/>
    <w:rsid w:val="00C70968"/>
    <w:rsid w:val="00CA5B93"/>
    <w:rsid w:val="00D01B89"/>
    <w:rsid w:val="00D530CA"/>
    <w:rsid w:val="00E66FDD"/>
    <w:rsid w:val="00F50F1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b/>
      <w:szCs w:val="24"/>
      <w:u w:val="single"/>
      <w:lang w:val="en-GB"/>
    </w:rPr>
  </w:style>
  <w:style w:type="paragraph" w:styleId="Heading2">
    <w:name w:val="heading 2"/>
    <w:basedOn w:val="Normal"/>
    <w:next w:val="Normal"/>
    <w:qFormat/>
    <w:pPr>
      <w:keepNext/>
      <w:ind w:left="720"/>
      <w:jc w:val="both"/>
      <w:outlineLvl w:val="1"/>
    </w:pPr>
    <w:rPr>
      <w:b/>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368"/>
        <w:tab w:val="left" w:pos="-720"/>
        <w:tab w:val="left" w:pos="0"/>
        <w:tab w:val="left" w:pos="510"/>
        <w:tab w:val="left" w:pos="1440"/>
      </w:tabs>
      <w:jc w:val="both"/>
    </w:pPr>
    <w:rPr>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FooterChar">
    <w:name w:val="Footer Char"/>
    <w:link w:val="Footer"/>
    <w:uiPriority w:val="99"/>
    <w:rsid w:val="003544AF"/>
    <w:rPr>
      <w:snapToGrid w:val="0"/>
      <w:sz w:val="24"/>
      <w:lang w:val="en-US" w:eastAsia="en-US"/>
    </w:rPr>
  </w:style>
  <w:style w:type="paragraph" w:styleId="EndnoteText">
    <w:name w:val="endnote text"/>
    <w:basedOn w:val="Normal"/>
    <w:link w:val="EndnoteTextChar"/>
    <w:rsid w:val="003544AF"/>
    <w:rPr>
      <w:sz w:val="20"/>
    </w:rPr>
  </w:style>
  <w:style w:type="character" w:customStyle="1" w:styleId="EndnoteTextChar">
    <w:name w:val="Endnote Text Char"/>
    <w:link w:val="EndnoteText"/>
    <w:rsid w:val="003544AF"/>
    <w:rPr>
      <w:snapToGrid w:val="0"/>
      <w:lang w:val="en-US" w:eastAsia="en-US"/>
    </w:rPr>
  </w:style>
  <w:style w:type="character" w:styleId="EndnoteReference">
    <w:name w:val="endnote reference"/>
    <w:rsid w:val="003544AF"/>
    <w:rPr>
      <w:vertAlign w:val="superscript"/>
    </w:rPr>
  </w:style>
  <w:style w:type="paragraph" w:styleId="FootnoteText">
    <w:name w:val="footnote text"/>
    <w:basedOn w:val="Normal"/>
    <w:link w:val="FootnoteTextChar"/>
    <w:rsid w:val="003544AF"/>
    <w:rPr>
      <w:sz w:val="20"/>
    </w:rPr>
  </w:style>
  <w:style w:type="character" w:customStyle="1" w:styleId="FootnoteTextChar">
    <w:name w:val="Footnote Text Char"/>
    <w:link w:val="FootnoteText"/>
    <w:rsid w:val="003544AF"/>
    <w:rPr>
      <w:snapToGrid w:val="0"/>
      <w:lang w:val="en-US" w:eastAsia="en-US"/>
    </w:rPr>
  </w:style>
  <w:style w:type="paragraph" w:styleId="BodyTextIndent">
    <w:name w:val="Body Text Indent"/>
    <w:basedOn w:val="Normal"/>
    <w:link w:val="BodyTextIndentChar"/>
    <w:rsid w:val="00CA5B93"/>
    <w:pPr>
      <w:spacing w:after="120"/>
      <w:ind w:left="283"/>
    </w:pPr>
  </w:style>
  <w:style w:type="character" w:customStyle="1" w:styleId="BodyTextIndentChar">
    <w:name w:val="Body Text Indent Char"/>
    <w:link w:val="BodyTextIndent"/>
    <w:rsid w:val="00CA5B93"/>
    <w:rPr>
      <w:snapToGrid w:val="0"/>
      <w:sz w:val="24"/>
      <w:lang w:val="en-US" w:eastAsia="en-US"/>
    </w:rPr>
  </w:style>
  <w:style w:type="paragraph" w:styleId="ListParagraph">
    <w:name w:val="List Paragraph"/>
    <w:basedOn w:val="Normal"/>
    <w:link w:val="ListParagraphChar"/>
    <w:uiPriority w:val="34"/>
    <w:qFormat/>
    <w:rsid w:val="00CA5B93"/>
    <w:pPr>
      <w:widowControl/>
      <w:tabs>
        <w:tab w:val="left" w:pos="567"/>
        <w:tab w:val="left" w:pos="1134"/>
        <w:tab w:val="left" w:pos="1701"/>
        <w:tab w:val="left" w:pos="2268"/>
        <w:tab w:val="left" w:pos="2835"/>
        <w:tab w:val="left" w:pos="3402"/>
        <w:tab w:val="left" w:pos="3969"/>
        <w:tab w:val="left" w:pos="5670"/>
        <w:tab w:val="left" w:pos="8505"/>
      </w:tabs>
      <w:ind w:left="720"/>
      <w:contextualSpacing/>
    </w:pPr>
    <w:rPr>
      <w:snapToGrid/>
    </w:rPr>
  </w:style>
  <w:style w:type="paragraph" w:customStyle="1" w:styleId="spc2">
    <w:name w:val="spc2"/>
    <w:basedOn w:val="Normal"/>
    <w:rsid w:val="00CA5B93"/>
    <w:pPr>
      <w:widowControl/>
      <w:tabs>
        <w:tab w:val="left" w:pos="567"/>
        <w:tab w:val="left" w:pos="1134"/>
        <w:tab w:val="left" w:pos="1701"/>
        <w:tab w:val="left" w:pos="2268"/>
        <w:tab w:val="left" w:pos="2835"/>
        <w:tab w:val="left" w:pos="3402"/>
        <w:tab w:val="left" w:pos="3969"/>
        <w:tab w:val="left" w:pos="5670"/>
        <w:tab w:val="left" w:pos="8505"/>
      </w:tabs>
      <w:ind w:left="567"/>
    </w:pPr>
    <w:rPr>
      <w:snapToGrid/>
      <w:sz w:val="22"/>
    </w:rPr>
  </w:style>
  <w:style w:type="paragraph" w:customStyle="1" w:styleId="12bold">
    <w:name w:val="12 bold"/>
    <w:basedOn w:val="ListParagraph"/>
    <w:link w:val="12boldChar"/>
    <w:qFormat/>
    <w:rsid w:val="008B26BC"/>
    <w:pPr>
      <w:numPr>
        <w:numId w:val="4"/>
      </w:numPr>
    </w:pPr>
    <w:rPr>
      <w:rFonts w:ascii="Arial" w:hAnsi="Arial" w:cs="Arial"/>
      <w:b/>
      <w:szCs w:val="24"/>
    </w:rPr>
  </w:style>
  <w:style w:type="character" w:customStyle="1" w:styleId="ListParagraphChar">
    <w:name w:val="List Paragraph Char"/>
    <w:basedOn w:val="DefaultParagraphFont"/>
    <w:link w:val="ListParagraph"/>
    <w:uiPriority w:val="34"/>
    <w:rsid w:val="008B26BC"/>
    <w:rPr>
      <w:sz w:val="24"/>
      <w:lang w:val="en-US" w:eastAsia="en-US"/>
    </w:rPr>
  </w:style>
  <w:style w:type="character" w:customStyle="1" w:styleId="12boldChar">
    <w:name w:val="12 bold Char"/>
    <w:basedOn w:val="ListParagraphChar"/>
    <w:link w:val="12bold"/>
    <w:rsid w:val="008B26BC"/>
    <w:rPr>
      <w:rFonts w:ascii="Arial" w:hAnsi="Arial" w:cs="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